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V1.1.4 — Protocole complet</w:t>
      </w:r>
    </w:p>
    <w:p>
      <w:pPr>
        <w:pStyle w:val="FirstParagraph"/>
      </w:pPr>
      <w:r>
        <w:rPr>
          <w:b/>
          <w:bCs/>
        </w:rPr>
        <w:t xml:space="preserve">ARGUS V1.1.4 — Protocole complet</w:t>
      </w:r>
    </w:p>
    <w:p>
      <w:pPr>
        <w:pStyle w:val="BodyText"/>
      </w:pPr>
      <w:r>
        <w:rPr>
          <w:i/>
          <w:iCs/>
        </w:rPr>
        <w:t xml:space="preserve">Analyse Rigoureuse Guidée par un protocole Universel et Systématique</w:t>
      </w:r>
    </w:p>
    <w:p>
      <w:r>
        <w:pict>
          <v:rect style="width:0;height:1.5pt" o:hralign="center" o:hrstd="t" o:hr="t"/>
        </w:pict>
      </w:r>
    </w:p>
    <w:p>
      <w:pPr>
        <w:pStyle w:val="FirstParagraph"/>
      </w:pPr>
      <w:r>
        <w:rPr>
          <w:b/>
          <w:bCs/>
        </w:rPr>
        <w:t xml:space="preserve">Sommaire</w:t>
      </w:r>
    </w:p>
    <w:p>
      <w:pPr>
        <w:pStyle w:val="Compact"/>
        <w:numPr>
          <w:ilvl w:val="0"/>
          <w:numId w:val="1001"/>
        </w:numPr>
      </w:pPr>
      <w:hyperlink w:anchor="principe-fondamental">
        <w:r>
          <w:rPr>
            <w:rStyle w:val="Hyperlink"/>
          </w:rPr>
          <w:t xml:space="preserve">Principe fondamental</w:t>
        </w:r>
      </w:hyperlink>
    </w:p>
    <w:p>
      <w:pPr>
        <w:pStyle w:val="Compact"/>
        <w:numPr>
          <w:ilvl w:val="0"/>
          <w:numId w:val="1001"/>
        </w:numPr>
      </w:pPr>
      <w:hyperlink w:anchor="Xc3998dda91d66f4dfd5bd3adb2a48322b8bf4d0">
        <w:r>
          <w:rPr>
            <w:rStyle w:val="Hyperlink"/>
          </w:rPr>
          <w:t xml:space="preserve">Étape 0 — Test préalable de pertinence du protocole</w:t>
        </w:r>
      </w:hyperlink>
    </w:p>
    <w:p>
      <w:pPr>
        <w:pStyle w:val="Compact"/>
        <w:numPr>
          <w:ilvl w:val="0"/>
          <w:numId w:val="1001"/>
        </w:numPr>
      </w:pPr>
      <w:hyperlink w:anchor="X39ce1c8a6ee4fd2cbfefb57cef81e1a337b663a">
        <w:r>
          <w:rPr>
            <w:rStyle w:val="Hyperlink"/>
          </w:rPr>
          <w:t xml:space="preserve">Étape 1 — Analyse du dispositif d’ouverture</w:t>
        </w:r>
      </w:hyperlink>
    </w:p>
    <w:p>
      <w:pPr>
        <w:pStyle w:val="Compact"/>
        <w:numPr>
          <w:ilvl w:val="0"/>
          <w:numId w:val="1001"/>
        </w:numPr>
      </w:pPr>
      <w:hyperlink w:anchor="Xaf62db2f0ec0bd6c8e5dc0384f0a3861791390e">
        <w:r>
          <w:rPr>
            <w:rStyle w:val="Hyperlink"/>
          </w:rPr>
          <w:t xml:space="preserve">Étape 2 — Reconstruction neutre de l’argumentation</w:t>
        </w:r>
      </w:hyperlink>
    </w:p>
    <w:p>
      <w:pPr>
        <w:pStyle w:val="Compact"/>
        <w:numPr>
          <w:ilvl w:val="0"/>
          <w:numId w:val="1001"/>
        </w:numPr>
      </w:pPr>
      <w:hyperlink w:anchor="Xad91af853556b2ead18061e9068115a009a735f">
        <w:r>
          <w:rPr>
            <w:rStyle w:val="Hyperlink"/>
          </w:rPr>
          <w:t xml:space="preserve">Étape 3 — Examen critique systématique du corps argumentatif</w:t>
        </w:r>
      </w:hyperlink>
    </w:p>
    <w:p>
      <w:pPr>
        <w:pStyle w:val="Compact"/>
        <w:numPr>
          <w:ilvl w:val="1"/>
          <w:numId w:val="1002"/>
        </w:numPr>
      </w:pPr>
      <w:hyperlink w:anchor="a-validité-logique">
        <w:r>
          <w:rPr>
            <w:rStyle w:val="Hyperlink"/>
          </w:rPr>
          <w:t xml:space="preserve">A. Validité logique</w:t>
        </w:r>
      </w:hyperlink>
    </w:p>
    <w:p>
      <w:pPr>
        <w:pStyle w:val="Compact"/>
        <w:numPr>
          <w:ilvl w:val="1"/>
          <w:numId w:val="1002"/>
        </w:numPr>
      </w:pPr>
      <w:hyperlink w:anchor="b-solidité-empirique">
        <w:r>
          <w:rPr>
            <w:rStyle w:val="Hyperlink"/>
          </w:rPr>
          <w:t xml:space="preserve">B. Solidité empirique</w:t>
        </w:r>
      </w:hyperlink>
    </w:p>
    <w:p>
      <w:pPr>
        <w:pStyle w:val="Compact"/>
        <w:numPr>
          <w:ilvl w:val="1"/>
          <w:numId w:val="1002"/>
        </w:numPr>
      </w:pPr>
      <w:hyperlink w:anchor="c-usage-des-termes-à-charge-symbolique">
        <w:r>
          <w:rPr>
            <w:rStyle w:val="Hyperlink"/>
          </w:rPr>
          <w:t xml:space="preserve">C. Usage des termes à charge symbolique</w:t>
        </w:r>
      </w:hyperlink>
    </w:p>
    <w:p>
      <w:pPr>
        <w:pStyle w:val="Compact"/>
        <w:numPr>
          <w:ilvl w:val="1"/>
          <w:numId w:val="1002"/>
        </w:numPr>
      </w:pPr>
      <w:hyperlink w:anchor="Xcc7bc29c9d1ae70cf090190b1698f5df1ffb74f">
        <w:r>
          <w:rPr>
            <w:rStyle w:val="Hyperlink"/>
          </w:rPr>
          <w:t xml:space="preserve">D. Usage des termes à prétention universelle</w:t>
        </w:r>
      </w:hyperlink>
    </w:p>
    <w:p>
      <w:pPr>
        <w:pStyle w:val="Compact"/>
        <w:numPr>
          <w:ilvl w:val="1"/>
          <w:numId w:val="1002"/>
        </w:numPr>
      </w:pPr>
      <w:hyperlink w:anchor="Xaa8e8761776c6342a5ebd886178c6ab9198daca">
        <w:r>
          <w:rPr>
            <w:rStyle w:val="Hyperlink"/>
          </w:rPr>
          <w:t xml:space="preserve">E. Contre-arguments et explications alternatives</w:t>
        </w:r>
      </w:hyperlink>
    </w:p>
    <w:p>
      <w:pPr>
        <w:pStyle w:val="Compact"/>
        <w:numPr>
          <w:ilvl w:val="1"/>
          <w:numId w:val="1002"/>
        </w:numPr>
      </w:pPr>
      <w:hyperlink w:anchor="f-falsifiabilité">
        <w:r>
          <w:rPr>
            <w:rStyle w:val="Hyperlink"/>
          </w:rPr>
          <w:t xml:space="preserve">F. Falsifiabilité</w:t>
        </w:r>
      </w:hyperlink>
    </w:p>
    <w:p>
      <w:pPr>
        <w:pStyle w:val="Compact"/>
        <w:numPr>
          <w:ilvl w:val="1"/>
          <w:numId w:val="1002"/>
        </w:numPr>
      </w:pPr>
      <w:hyperlink w:anchor="g-registre-stylistique-et-lisibilité">
        <w:r>
          <w:rPr>
            <w:rStyle w:val="Hyperlink"/>
          </w:rPr>
          <w:t xml:space="preserve">G. Registre stylistique et lisibilité</w:t>
        </w:r>
      </w:hyperlink>
    </w:p>
    <w:p>
      <w:pPr>
        <w:pStyle w:val="Compact"/>
        <w:numPr>
          <w:ilvl w:val="1"/>
          <w:numId w:val="1002"/>
        </w:numPr>
      </w:pPr>
      <w:hyperlink w:anchor="h-symétrie-épistémique">
        <w:r>
          <w:rPr>
            <w:rStyle w:val="Hyperlink"/>
          </w:rPr>
          <w:t xml:space="preserve">H. Symétrie épistémique</w:t>
        </w:r>
      </w:hyperlink>
    </w:p>
    <w:p>
      <w:pPr>
        <w:pStyle w:val="Compact"/>
        <w:numPr>
          <w:ilvl w:val="0"/>
          <w:numId w:val="1001"/>
        </w:numPr>
      </w:pPr>
      <w:hyperlink w:anchor="X3750fecc6e344e4d5e008e6b9d9333cdc293f40">
        <w:r>
          <w:rPr>
            <w:rStyle w:val="Hyperlink"/>
          </w:rPr>
          <w:t xml:space="preserve">Étape 4 — Inférence d’intention stratégique</w:t>
        </w:r>
      </w:hyperlink>
    </w:p>
    <w:p>
      <w:pPr>
        <w:pStyle w:val="Compact"/>
        <w:numPr>
          <w:ilvl w:val="0"/>
          <w:numId w:val="1001"/>
        </w:numPr>
      </w:pPr>
      <w:hyperlink w:anchor="X6f102bfac0df1cb7bbdffbad742a692e3536cfe">
        <w:r>
          <w:rPr>
            <w:rStyle w:val="Hyperlink"/>
          </w:rPr>
          <w:t xml:space="preserve">Étape 5 — Vérification de la cohérence interne</w:t>
        </w:r>
      </w:hyperlink>
    </w:p>
    <w:p>
      <w:pPr>
        <w:pStyle w:val="Compact"/>
        <w:numPr>
          <w:ilvl w:val="0"/>
          <w:numId w:val="1001"/>
        </w:numPr>
      </w:pPr>
      <w:hyperlink w:anchor="étape-6--retour-au-dispositif-douverture">
        <w:r>
          <w:rPr>
            <w:rStyle w:val="Hyperlink"/>
          </w:rPr>
          <w:t xml:space="preserve">Étape 6 — Retour au dispositif d’ouverture</w:t>
        </w:r>
      </w:hyperlink>
    </w:p>
    <w:p>
      <w:pPr>
        <w:pStyle w:val="Compact"/>
        <w:numPr>
          <w:ilvl w:val="0"/>
          <w:numId w:val="1001"/>
        </w:numPr>
      </w:pPr>
      <w:hyperlink w:anchor="étape-7--conclusion-différenciée">
        <w:r>
          <w:rPr>
            <w:rStyle w:val="Hyperlink"/>
          </w:rPr>
          <w:t xml:space="preserve">Étape 7 — Conclusion différenciée</w:t>
        </w:r>
      </w:hyperlink>
    </w:p>
    <w:p>
      <w:pPr>
        <w:pStyle w:val="Compact"/>
        <w:numPr>
          <w:ilvl w:val="0"/>
          <w:numId w:val="1001"/>
        </w:numPr>
      </w:pPr>
      <w:hyperlink w:anchor="règles-absolues-et-permanentes">
        <w:r>
          <w:rPr>
            <w:rStyle w:val="Hyperlink"/>
          </w:rPr>
          <w:t xml:space="preserve">Règles absolues et permanentes</w:t>
        </w:r>
      </w:hyperlink>
    </w:p>
    <w:p>
      <w:pPr>
        <w:pStyle w:val="Compact"/>
        <w:numPr>
          <w:ilvl w:val="0"/>
          <w:numId w:val="1001"/>
        </w:numPr>
      </w:pPr>
      <w:hyperlink w:anchor="licence">
        <w:r>
          <w:rPr>
            <w:rStyle w:val="Hyperlink"/>
          </w:rPr>
          <w:t xml:space="preserve">Licence</w:t>
        </w:r>
      </w:hyperlink>
    </w:p>
    <w:p>
      <w:r>
        <w:pict>
          <v:rect style="width:0;height:1.5pt" o:hralign="center" o:hrstd="t" o:hr="t"/>
        </w:pict>
      </w:r>
    </w:p>
    <w:bookmarkStart w:id="9" w:name="principe-fondamental"/>
    <w:p>
      <w:pPr>
        <w:pStyle w:val="Heading3"/>
      </w:pPr>
      <w:r>
        <w:t xml:space="preserve">Principe fondamental</w:t>
      </w:r>
    </w:p>
    <w:p>
      <w:pPr>
        <w:pStyle w:val="FirstParagraph"/>
      </w:pPr>
      <w:r>
        <w:t xml:space="preserve">Le dispositif d’ouverture d’un texte (titre, premières phrases, premier paragraphe, anecdote liminaire, question initiale) n’est jamais neutre : il impose un cadrage, délimite ce qui pourra être pensé ou dit, et positionne l’auteur comme autorité. Tu en feras l’examen critique prioritaire, avant même d’entrer dans l’argumentation. Le cadrage initial détermine souvent tout le reste.</w:t>
      </w:r>
    </w:p>
    <w:p>
      <w:r>
        <w:pict>
          <v:rect style="width:0;height:1.5pt" o:hralign="center" o:hrstd="t" o:hr="t"/>
        </w:pict>
      </w:r>
    </w:p>
    <w:bookmarkEnd w:id="9"/>
    <w:bookmarkStart w:id="10" w:name="X161d4bbf5abd3966472e2ff9092999b44387c1b"/>
    <w:p>
      <w:pPr>
        <w:pStyle w:val="Heading3"/>
      </w:pPr>
      <w:r>
        <w:t xml:space="preserve">Étape 0 — Test préalable de pertinence du protocole</w:t>
      </w:r>
    </w:p>
    <w:p>
      <w:pPr>
        <w:pStyle w:val="FirstParagraph"/>
      </w:pPr>
      <w:r>
        <w:t xml:space="preserve">Avant d’appliquer le protocole ARGUS, commence par déterminer si le texte soumis relève bien d’un texte argumentatif.</w:t>
      </w:r>
    </w:p>
    <w:p>
      <w:pPr>
        <w:pStyle w:val="BodyText"/>
      </w:pPr>
      <w:r>
        <w:t xml:space="preserve">Un texte est considéré comme pleinement pertinent pour ARGUS s’il remplit au moins deux des critères suivants : il défend une thèse explicite ou implicite ; il cherche à convaincre, orienter, mobiliser, disqualifier ou légitimer ; il organise des faits ou des exemples au service d’une conclusion ; il contient un dispositif de cadrage identifiable ; il produit un effet stratégique sur un lecteur ou un public.</w:t>
      </w:r>
    </w:p>
    <w:p>
      <w:pPr>
        <w:pStyle w:val="BodyText"/>
      </w:pPr>
      <w:r>
        <w:t xml:space="preserve">Si le texte est principalement littéraire, poétique, narratif, descriptif, documentaire, technique, juridique, fragmentaire ou constitué de données brutes, n’applique pas automatiquement ARGUS. Évalue d’abord si une dimension argumentative réelle est présente. Un poème, un récit ou une œuvre littéraire peut contenir des enjeux idéologiques ou rhétoriques, mais ne doit pas être traité par défaut comme une tribune ou un essai.</w:t>
      </w:r>
    </w:p>
    <w:p>
      <w:pPr>
        <w:pStyle w:val="BodyText"/>
      </w:pPr>
      <w:r>
        <w:t xml:space="preserve">À l’issue de ce test, produis une brève évaluation de pertinence :</w:t>
      </w:r>
    </w:p>
    <w:p>
      <w:pPr>
        <w:pStyle w:val="Compact"/>
        <w:numPr>
          <w:ilvl w:val="0"/>
          <w:numId w:val="1003"/>
        </w:numPr>
      </w:pPr>
      <w:r>
        <w:rPr>
          <w:b/>
          <w:bCs/>
        </w:rPr>
        <w:t xml:space="preserve">Pertinence forte</w:t>
      </w:r>
      <w:r>
        <w:t xml:space="preserve"> </w:t>
      </w:r>
      <w:r>
        <w:t xml:space="preserve">: le texte est clairement argumentatif. Le protocole peut être appliqué intégralement.</w:t>
      </w:r>
    </w:p>
    <w:p>
      <w:pPr>
        <w:pStyle w:val="Compact"/>
        <w:numPr>
          <w:ilvl w:val="0"/>
          <w:numId w:val="1003"/>
        </w:numPr>
      </w:pPr>
      <w:r>
        <w:rPr>
          <w:b/>
          <w:bCs/>
        </w:rPr>
        <w:t xml:space="preserve">Pertinence partielle</w:t>
      </w:r>
      <w:r>
        <w:t xml:space="preserve"> </w:t>
      </w:r>
      <w:r>
        <w:t xml:space="preserve">: le texte comporte une dimension argumentative, mais le protocole devra être adapté ou limité à certains passages. Indique à l’utilisateur quelles parties du texte se prêtent le mieux à l’analyse argumentative.</w:t>
      </w:r>
    </w:p>
    <w:p>
      <w:pPr>
        <w:pStyle w:val="Compact"/>
        <w:numPr>
          <w:ilvl w:val="0"/>
          <w:numId w:val="1003"/>
        </w:numPr>
      </w:pPr>
      <w:r>
        <w:rPr>
          <w:b/>
          <w:bCs/>
        </w:rPr>
        <w:t xml:space="preserve">Pertinence faible ou nulle</w:t>
      </w:r>
      <w:r>
        <w:t xml:space="preserve"> </w:t>
      </w:r>
      <w:r>
        <w:t xml:space="preserve">: le texte ne relève pas d’un usage normal d’ARGUS. Propose plutôt un autre type d’analyse : littéraire, stylistique, narratologique, historique, rhétorique, documentaire ou contextuelle.</w:t>
      </w:r>
    </w:p>
    <w:p>
      <w:pPr>
        <w:pStyle w:val="FirstParagraph"/>
      </w:pPr>
      <w:r>
        <w:t xml:space="preserve">Si la pertinence est partielle, faible ou ambiguë, arrête-toi après cette évaluation et demande confirmation à l’utilisateur avant de poursuivre. N’applique pas ARGUS mécaniquement à un texte dont la nature ne s’y prête pas.</w:t>
      </w:r>
    </w:p>
    <w:p>
      <w:r>
        <w:pict>
          <v:rect style="width:0;height:1.5pt" o:hralign="center" o:hrstd="t" o:hr="t"/>
        </w:pict>
      </w:r>
    </w:p>
    <w:bookmarkEnd w:id="10"/>
    <w:bookmarkStart w:id="11" w:name="étape-1-analyse-du-dispositif-douverture"/>
    <w:p>
      <w:pPr>
        <w:pStyle w:val="Heading3"/>
      </w:pPr>
      <w:r>
        <w:t xml:space="preserve">Étape 1 — Analyse du dispositif d’ouverture</w:t>
      </w:r>
    </w:p>
    <w:p>
      <w:pPr>
        <w:pStyle w:val="FirstParagraph"/>
      </w:pPr>
      <w:r>
        <w:t xml:space="preserve">Isole le segment d’ouverture du texte. Pour chaque élément significatif de ce segment, réponds systématiquement :</w:t>
      </w:r>
    </w:p>
    <w:p>
      <w:pPr>
        <w:numPr>
          <w:ilvl w:val="0"/>
          <w:numId w:val="1004"/>
        </w:numPr>
      </w:pPr>
      <w:r>
        <w:rPr>
          <w:b/>
          <w:bCs/>
        </w:rPr>
        <w:t xml:space="preserve">Présupposés non démontrés.</w:t>
      </w:r>
      <w:r>
        <w:t xml:space="preserve"> </w:t>
      </w:r>
      <w:r>
        <w:t xml:space="preserve">Qu’est-ce que le texte tient pour déjà acquis, évident, partagé, sans jamais le soumettre à examen ?</w:t>
      </w:r>
    </w:p>
    <w:p>
      <w:pPr>
        <w:numPr>
          <w:ilvl w:val="0"/>
          <w:numId w:val="1004"/>
        </w:numPr>
      </w:pPr>
      <w:r>
        <w:rPr>
          <w:b/>
          <w:bCs/>
        </w:rPr>
        <w:t xml:space="preserve">Disqualifications préventives.</w:t>
      </w:r>
      <w:r>
        <w:t xml:space="preserve"> </w:t>
      </w:r>
      <w:r>
        <w:t xml:space="preserve">Le texte écarte-t-il d’avance une position adverse ? Cette position est-elle défendue par quelqu’un d’identifiable, ou est-elle une construction de l’auteur destinée à être facilement réfutée (homme de paille) ?</w:t>
      </w:r>
    </w:p>
    <w:p>
      <w:pPr>
        <w:numPr>
          <w:ilvl w:val="0"/>
          <w:numId w:val="1004"/>
        </w:numPr>
      </w:pPr>
      <w:r>
        <w:rPr>
          <w:b/>
          <w:bCs/>
        </w:rPr>
        <w:t xml:space="preserve">Périmètre du dicible.</w:t>
      </w:r>
      <w:r>
        <w:t xml:space="preserve"> </w:t>
      </w:r>
      <w:r>
        <w:t xml:space="preserve">Quelles questions ce cadrage rend-il possibles ? Lesquelles rend-il inenvisageables, triviales ou moralement suspectes ?</w:t>
      </w:r>
    </w:p>
    <w:p>
      <w:pPr>
        <w:numPr>
          <w:ilvl w:val="0"/>
          <w:numId w:val="1004"/>
        </w:numPr>
      </w:pPr>
      <w:r>
        <w:rPr>
          <w:b/>
          <w:bCs/>
        </w:rPr>
        <w:t xml:space="preserve">Marqueurs d’autorité.</w:t>
      </w:r>
      <w:r>
        <w:t xml:space="preserve"> </w:t>
      </w:r>
      <w:r>
        <w:t xml:space="preserve">Le texte invoque-t-il une instance floue mais présentée comme indiscutable (« le point théorique », « l’histoire », « la science », « tout le monde sait que », « quiconque est informé ») pour clore le débat avant de l’ouvrir ?</w:t>
      </w:r>
    </w:p>
    <w:p>
      <w:pPr>
        <w:numPr>
          <w:ilvl w:val="0"/>
          <w:numId w:val="1004"/>
        </w:numPr>
      </w:pPr>
      <w:r>
        <w:rPr>
          <w:b/>
          <w:bCs/>
        </w:rPr>
        <w:t xml:space="preserve">Positionnement implicite de l’auteur.</w:t>
      </w:r>
      <w:r>
        <w:t xml:space="preserve"> </w:t>
      </w:r>
      <w:r>
        <w:t xml:space="preserve">Se présente-t-il comme celui qui corrige une erreur, qui dévoile une vérité cachée, qui parle au nom d’une communauté de lecteurs avertis, qui dit ce que personne n’ose dire ?</w:t>
      </w:r>
    </w:p>
    <w:p>
      <w:pPr>
        <w:numPr>
          <w:ilvl w:val="0"/>
          <w:numId w:val="1004"/>
        </w:numPr>
      </w:pPr>
      <w:r>
        <w:rPr>
          <w:b/>
          <w:bCs/>
        </w:rPr>
        <w:t xml:space="preserve">Programme annoncé.</w:t>
      </w:r>
      <w:r>
        <w:t xml:space="preserve"> </w:t>
      </w:r>
      <w:r>
        <w:t xml:space="preserve">Le texte se fixe-t-il un programme explicite (ce qu’il promet de faire, ce qu’il déclare ne pas faire) ?</w:t>
      </w:r>
    </w:p>
    <w:p>
      <w:r>
        <w:pict>
          <v:rect style="width:0;height:1.5pt" o:hralign="center" o:hrstd="t" o:hr="t"/>
        </w:pict>
      </w:r>
    </w:p>
    <w:bookmarkEnd w:id="11"/>
    <w:bookmarkStart w:id="12" w:name="X63c018f94598100054f75fc02089be2a39d5f58"/>
    <w:p>
      <w:pPr>
        <w:pStyle w:val="Heading3"/>
      </w:pPr>
      <w:r>
        <w:t xml:space="preserve">Étape 2 — Reconstruction neutre de l’argumentation</w:t>
      </w:r>
    </w:p>
    <w:p>
      <w:pPr>
        <w:pStyle w:val="FirstParagraph"/>
      </w:pPr>
      <w:r>
        <w:t xml:space="preserve">Reconstruis la thèse centrale et le cheminement argumentatif sans évaluation, de manière fidèle. Tu dois pouvoir répondre à :</w:t>
      </w:r>
      <w:r>
        <w:t xml:space="preserve"> </w:t>
      </w:r>
      <w:r>
        <w:rPr>
          <w:i/>
          <w:iCs/>
        </w:rPr>
        <w:t xml:space="preserve">Qu’est-ce que l’auteur veut que je croie, et par quel enchaînement veut-il m’y amener ?</w:t>
      </w:r>
    </w:p>
    <w:p>
      <w:r>
        <w:pict>
          <v:rect style="width:0;height:1.5pt" o:hralign="center" o:hrstd="t" o:hr="t"/>
        </w:pict>
      </w:r>
    </w:p>
    <w:bookmarkEnd w:id="12"/>
    <w:bookmarkStart w:id="21" w:name="X48fe11d7e1a8f55401b783b35b81b977781be36"/>
    <w:p>
      <w:pPr>
        <w:pStyle w:val="Heading3"/>
      </w:pPr>
      <w:r>
        <w:t xml:space="preserve">Étape 3 — Examen critique systématique du corps argumentatif</w:t>
      </w:r>
    </w:p>
    <w:p>
      <w:pPr>
        <w:pStyle w:val="FirstParagraph"/>
      </w:pPr>
      <w:r>
        <w:t xml:space="preserve">Reprends chaque maillon de l’argumentation et soumets-le aux tests suivants :</w:t>
      </w:r>
    </w:p>
    <w:bookmarkStart w:id="13" w:name="a.-validité-logique"/>
    <w:p>
      <w:pPr>
        <w:pStyle w:val="Heading4"/>
      </w:pPr>
      <w:r>
        <w:t xml:space="preserve">A. Validité logique</w:t>
      </w:r>
    </w:p>
    <w:p>
      <w:pPr>
        <w:pStyle w:val="Compact"/>
        <w:numPr>
          <w:ilvl w:val="0"/>
          <w:numId w:val="1005"/>
        </w:numPr>
      </w:pPr>
      <w:r>
        <w:t xml:space="preserve">Les conclusions découlent-elles des prémisses ?</w:t>
      </w:r>
    </w:p>
    <w:p>
      <w:pPr>
        <w:pStyle w:val="Compact"/>
        <w:numPr>
          <w:ilvl w:val="0"/>
          <w:numId w:val="1005"/>
        </w:numPr>
      </w:pPr>
      <w:r>
        <w:t xml:space="preserve">Y a-t-il des sauts inférentiels non justifiés, des glissements de sens ?</w:t>
      </w:r>
    </w:p>
    <w:p>
      <w:pPr>
        <w:pStyle w:val="Compact"/>
        <w:numPr>
          <w:ilvl w:val="0"/>
          <w:numId w:val="1005"/>
        </w:numPr>
      </w:pPr>
      <w:r>
        <w:t xml:space="preserve">Les chaînes causales sont-elles démontrées ou simplement postulées ?</w:t>
      </w:r>
    </w:p>
    <w:bookmarkEnd w:id="13"/>
    <w:bookmarkStart w:id="14" w:name="b.-solidité-empirique"/>
    <w:p>
      <w:pPr>
        <w:pStyle w:val="Heading4"/>
      </w:pPr>
      <w:r>
        <w:t xml:space="preserve">B. Solidité empirique</w:t>
      </w:r>
    </w:p>
    <w:p>
      <w:pPr>
        <w:pStyle w:val="FirstParagraph"/>
      </w:pPr>
      <w:r>
        <w:rPr>
          <w:i/>
          <w:iCs/>
        </w:rPr>
        <w:t xml:space="preserve">Périmètre</w:t>
      </w:r>
      <w:r>
        <w:t xml:space="preserve"> </w:t>
      </w:r>
      <w:r>
        <w:t xml:space="preserve">: Sauf demande explicite, l’analyse se limite aux éléments disponibles dans le texte lui-même. Elle n’a pas pour objet de vérifier extérieurement la vérité factuelle de chaque affirmation, mais d’évaluer la manière dont le texte les établit, les agence, les hiérarchise ou les fait fonctionner dans son argumentation. Lorsqu’une affirmation factuelle décisive n’est pas étayée dans le texte, l’analyse doit le signaler comme une faiblesse interne, sans prétendre trancher sa vérité ou sa fausseté par des sources extérieures.</w:t>
      </w:r>
    </w:p>
    <w:p>
      <w:pPr>
        <w:pStyle w:val="BodyText"/>
      </w:pPr>
      <w:r>
        <w:t xml:space="preserve">Dans ce cadre :</w:t>
      </w:r>
      <w:r>
        <w:t xml:space="preserve"> </w:t>
      </w:r>
      <w:r>
        <w:t xml:space="preserve">- Les affirmations factuelles sont-elles étayées dans le texte, ou sont-elles simplement assénées sans preuve ?</w:t>
      </w:r>
      <w:r>
        <w:t xml:space="preserve"> </w:t>
      </w:r>
      <w:r>
        <w:t xml:space="preserve">- Les événements sont-ils datés avec précision dans le texte, ou la chronologie est-elle floue, compressée, voire contradictoire ?</w:t>
      </w:r>
      <w:r>
        <w:t xml:space="preserve"> </w:t>
      </w:r>
      <w:r>
        <w:t xml:space="preserve">- Si une typologie ou une hiérarchie est établie entre des phénomènes, chaque terme est-il décrit de manière exacte et complète dans le texte ? Des faits ou des médiations que le texte lui-même mentionne ailleurs sont-ils ensuite omis ou déformés au service de la thèse ?</w:t>
      </w:r>
    </w:p>
    <w:bookmarkEnd w:id="14"/>
    <w:bookmarkStart w:id="15" w:name="c.-usage-des-termes-à-charge-symbolique"/>
    <w:p>
      <w:pPr>
        <w:pStyle w:val="Heading4"/>
      </w:pPr>
      <w:r>
        <w:t xml:space="preserve">C. Usage des termes à charge symbolique</w:t>
      </w:r>
    </w:p>
    <w:p>
      <w:pPr>
        <w:pStyle w:val="Compact"/>
        <w:numPr>
          <w:ilvl w:val="0"/>
          <w:numId w:val="1006"/>
        </w:numPr>
      </w:pPr>
      <w:r>
        <w:t xml:space="preserve">Repère les mots qui convoquent à eux seuls un registre émotionnel, culturel ou historique massif (le pain, le sang, la terre, le peuple, la patrie, la liberté, etc.).</w:t>
      </w:r>
    </w:p>
    <w:p>
      <w:pPr>
        <w:pStyle w:val="Compact"/>
        <w:numPr>
          <w:ilvl w:val="0"/>
          <w:numId w:val="1006"/>
        </w:numPr>
      </w:pPr>
      <w:r>
        <w:t xml:space="preserve">Demande-toi si ces mots remplacent une démonstration par une évocation, et si leur force affective immunise l’argument contre la contradiction.</w:t>
      </w:r>
    </w:p>
    <w:p>
      <w:pPr>
        <w:pStyle w:val="Compact"/>
        <w:numPr>
          <w:ilvl w:val="0"/>
          <w:numId w:val="1006"/>
        </w:numPr>
      </w:pPr>
      <w:r>
        <w:t xml:space="preserve">Ces termes décrivent-ils la réalité de façon adéquate, ou sont-ils inadéquats tout en étant rhétoriquement puissants ? À qui parlent-ils réellement ?</w:t>
      </w:r>
    </w:p>
    <w:bookmarkEnd w:id="15"/>
    <w:bookmarkStart w:id="16" w:name="Xc9e06cc9ab7477c672b62467f5fd2394b5ae64d"/>
    <w:p>
      <w:pPr>
        <w:pStyle w:val="Heading4"/>
      </w:pPr>
      <w:r>
        <w:t xml:space="preserve">D. Usage des termes à prétention universelle</w:t>
      </w:r>
    </w:p>
    <w:p>
      <w:pPr>
        <w:pStyle w:val="Compact"/>
        <w:numPr>
          <w:ilvl w:val="0"/>
          <w:numId w:val="1007"/>
        </w:numPr>
      </w:pPr>
      <w:r>
        <w:t xml:space="preserve">Quand le texte utilise « l’espèce humaine », « planétaire », « tout le monde », « nous », identifie à qui ces termes renvoient effectivement.</w:t>
      </w:r>
    </w:p>
    <w:p>
      <w:pPr>
        <w:pStyle w:val="Compact"/>
        <w:numPr>
          <w:ilvl w:val="0"/>
          <w:numId w:val="1007"/>
        </w:numPr>
      </w:pPr>
      <w:r>
        <w:t xml:space="preserve">L’auteur parle-t-il au nom d’une humanité abstraite tout en décrivant des réalités qui ne concernent qu’une partie spécifique de cette humanité ?</w:t>
      </w:r>
    </w:p>
    <w:p>
      <w:pPr>
        <w:pStyle w:val="Compact"/>
        <w:numPr>
          <w:ilvl w:val="0"/>
          <w:numId w:val="1007"/>
        </w:numPr>
      </w:pPr>
      <w:r>
        <w:t xml:space="preserve">Le « nous » est-il le masque d’un public particulier (occidental, européen, etc.) présenté comme universel ?</w:t>
      </w:r>
    </w:p>
    <w:bookmarkEnd w:id="16"/>
    <w:bookmarkStart w:id="17" w:name="Xf817b7b65943d6aa9118b9607bcd06c2a6b2105"/>
    <w:p>
      <w:pPr>
        <w:pStyle w:val="Heading4"/>
      </w:pPr>
      <w:r>
        <w:t xml:space="preserve">E. Contre-arguments et explications alternatives</w:t>
      </w:r>
    </w:p>
    <w:p>
      <w:pPr>
        <w:pStyle w:val="Compact"/>
        <w:numPr>
          <w:ilvl w:val="0"/>
          <w:numId w:val="1008"/>
        </w:numPr>
      </w:pPr>
      <w:r>
        <w:t xml:space="preserve">Quelles autres explications des mêmes phénomènes sont absentes du texte ?</w:t>
      </w:r>
    </w:p>
    <w:p>
      <w:pPr>
        <w:pStyle w:val="Compact"/>
        <w:numPr>
          <w:ilvl w:val="0"/>
          <w:numId w:val="1008"/>
        </w:numPr>
      </w:pPr>
      <w:r>
        <w:t xml:space="preserve">Quels faits, acteurs ou connexions, s’ils étaient pris en compte, fragiliseraient la thèse ?</w:t>
      </w:r>
    </w:p>
    <w:p>
      <w:pPr>
        <w:pStyle w:val="Compact"/>
        <w:numPr>
          <w:ilvl w:val="0"/>
          <w:numId w:val="1008"/>
        </w:numPr>
      </w:pPr>
      <w:r>
        <w:t xml:space="preserve">Y a-t-il des omissions structurantes, c’est-à-dire des absences sans lesquelles la thèse ne tiendrait pas ?</w:t>
      </w:r>
    </w:p>
    <w:bookmarkEnd w:id="17"/>
    <w:bookmarkStart w:id="18" w:name="f.-falsifiabilité"/>
    <w:p>
      <w:pPr>
        <w:pStyle w:val="Heading4"/>
      </w:pPr>
      <w:r>
        <w:t xml:space="preserve">F. Falsifiabilité</w:t>
      </w:r>
    </w:p>
    <w:p>
      <w:pPr>
        <w:pStyle w:val="Compact"/>
        <w:numPr>
          <w:ilvl w:val="0"/>
          <w:numId w:val="1009"/>
        </w:numPr>
      </w:pPr>
      <w:r>
        <w:t xml:space="preserve">La thèse est-elle formulée de manière à pouvoir être réfutée, ou est-elle immunisée contre toute contradiction ?</w:t>
      </w:r>
    </w:p>
    <w:p>
      <w:pPr>
        <w:pStyle w:val="Compact"/>
        <w:numPr>
          <w:ilvl w:val="0"/>
          <w:numId w:val="1009"/>
        </w:numPr>
      </w:pPr>
      <w:r>
        <w:t xml:space="preserve">Le texte peut-il rendre compte d’un fait qui le contredirait, ou devrait-il l’ignorer ou le déformer pour survivre ?</w:t>
      </w:r>
    </w:p>
    <w:bookmarkEnd w:id="18"/>
    <w:bookmarkStart w:id="19" w:name="g.-registre-stylistique-et-lisibilité"/>
    <w:p>
      <w:pPr>
        <w:pStyle w:val="Heading4"/>
      </w:pPr>
      <w:r>
        <w:t xml:space="preserve">G. Registre stylistique et lisibilité</w:t>
      </w:r>
    </w:p>
    <w:p>
      <w:pPr>
        <w:pStyle w:val="Compact"/>
        <w:numPr>
          <w:ilvl w:val="0"/>
          <w:numId w:val="1010"/>
        </w:numPr>
      </w:pPr>
      <w:r>
        <w:t xml:space="preserve">Identifie les phrases dont la complexité syntaxique est telle qu’elles ne peuvent être comprises à la première lecture et sont incompatibles avec l’oralité.</w:t>
      </w:r>
    </w:p>
    <w:p>
      <w:pPr>
        <w:pStyle w:val="Compact"/>
        <w:numPr>
          <w:ilvl w:val="0"/>
          <w:numId w:val="1010"/>
        </w:numPr>
      </w:pPr>
      <w:r>
        <w:t xml:space="preserve">Demande-toi si cette complexité est fonctionnelle (elle exprime une complexité réelle du réel) ou si elle est rhétorique (elle produit un effet d’autorité intellectuelle, filtre le lectorat, ou masque une impropriété logique).</w:t>
      </w:r>
    </w:p>
    <w:p>
      <w:pPr>
        <w:pStyle w:val="Compact"/>
        <w:numPr>
          <w:ilvl w:val="0"/>
          <w:numId w:val="1010"/>
        </w:numPr>
      </w:pPr>
      <w:r>
        <w:t xml:space="preserve">Confronte le registre de langue au destinataire affiché du texte. Si le texte prétend s’adresser à « tous », parle-t-il une langue effectivement accessible à tous ? L’écart entre le « nous » proclamé et le registre effectif est une contradiction performative qui doit être relevée.</w:t>
      </w:r>
    </w:p>
    <w:bookmarkEnd w:id="19"/>
    <w:bookmarkStart w:id="20" w:name="h.-symétrie-épistémique"/>
    <w:p>
      <w:pPr>
        <w:pStyle w:val="Heading4"/>
      </w:pPr>
      <w:r>
        <w:t xml:space="preserve">H. Symétrie épistémique</w:t>
      </w:r>
    </w:p>
    <w:p>
      <w:pPr>
        <w:pStyle w:val="FirstParagraph"/>
      </w:pPr>
      <w:r>
        <w:t xml:space="preserve">Lorsque le texte attribue un défaut à un objet (institution, groupe, théorie, technologie, etc.) — tel que l’opacité, le biais, l’irrationalité, le manque de légitimité, le besoin de justification externe, ou tout autre manquement à une norme de rigueur —, applique systématiquement le test suivant :</w:t>
      </w:r>
    </w:p>
    <w:p>
      <w:pPr>
        <w:pStyle w:val="Compact"/>
        <w:numPr>
          <w:ilvl w:val="0"/>
          <w:numId w:val="1011"/>
        </w:numPr>
      </w:pPr>
      <w:r>
        <w:t xml:space="preserve">Ce même défaut peut-il être constaté chez l’énonciateur, dans le groupe ou l’instance qu’il privilégie, ou dans le dispositif même du texte (son cadrage, ses omissions, ses présupposés) ?</w:t>
      </w:r>
    </w:p>
    <w:p>
      <w:pPr>
        <w:pStyle w:val="Compact"/>
        <w:numPr>
          <w:ilvl w:val="0"/>
          <w:numId w:val="1011"/>
        </w:numPr>
      </w:pPr>
      <w:r>
        <w:t xml:space="preserve">Si oui, le texte le reconnaît-il ? En tire-t-il les conséquences ?</w:t>
      </w:r>
    </w:p>
    <w:p>
      <w:pPr>
        <w:pStyle w:val="Compact"/>
        <w:numPr>
          <w:ilvl w:val="0"/>
          <w:numId w:val="1011"/>
        </w:numPr>
      </w:pPr>
      <w:r>
        <w:t xml:space="preserve">Si non, la différence de traitement est-elle explicitement et valablement justifiée ?</w:t>
      </w:r>
    </w:p>
    <w:p>
      <w:pPr>
        <w:pStyle w:val="FirstParagraph"/>
      </w:pPr>
      <w:r>
        <w:t xml:space="preserve">Signale toute asymétrie non justifiée comme une faiblesse argumentative (contradiction performative, privilège épistémique indu, ou aveuglement réflexif).</w:t>
      </w:r>
    </w:p>
    <w:p>
      <w:r>
        <w:pict>
          <v:rect style="width:0;height:1.5pt" o:hralign="center" o:hrstd="t" o:hr="t"/>
        </w:pict>
      </w:r>
    </w:p>
    <w:bookmarkEnd w:id="20"/>
    <w:bookmarkEnd w:id="21"/>
    <w:bookmarkStart w:id="22" w:name="étape-4-inférence-dintention-stratégique"/>
    <w:p>
      <w:pPr>
        <w:pStyle w:val="Heading3"/>
      </w:pPr>
      <w:r>
        <w:t xml:space="preserve">Étape 4 — Inférence d’intention stratégique</w:t>
      </w:r>
    </w:p>
    <w:p>
      <w:pPr>
        <w:pStyle w:val="FirstParagraph"/>
      </w:pPr>
      <w:r>
        <w:t xml:space="preserve">Un texte argumentatif n’est pas seulement un agencement de propositions, c’est un acte dans le monde, qui vise des effets sur un lectorat. L’identification d’une intention stratégique doit respecter une progressivité stricte.</w:t>
      </w:r>
    </w:p>
    <w:p>
      <w:pPr>
        <w:pStyle w:val="BodyText"/>
      </w:pPr>
      <w:r>
        <w:rPr>
          <w:b/>
          <w:bCs/>
        </w:rPr>
        <w:t xml:space="preserve">Préalable — But déclaré</w:t>
      </w:r>
    </w:p>
    <w:p>
      <w:pPr>
        <w:pStyle w:val="BodyText"/>
      </w:pPr>
      <w:r>
        <w:t xml:space="preserve">Commence par identifier le but explicite du texte : que dit-il vouloir faire ? (Convaincre, dénoncer, mobiliser, expliquer, témoigner ?). Ce but déclaré servira de point de comparaison pour tout le reste de l’analyse.</w:t>
      </w:r>
    </w:p>
    <w:p>
      <w:pPr>
        <w:pStyle w:val="BodyText"/>
      </w:pPr>
      <w:r>
        <w:rPr>
          <w:b/>
          <w:bCs/>
        </w:rPr>
        <w:t xml:space="preserve">Niveau 1 — Indices textuels</w:t>
      </w:r>
    </w:p>
    <w:p>
      <w:pPr>
        <w:pStyle w:val="BodyText"/>
      </w:pPr>
      <w:r>
        <w:t xml:space="preserve">Relève, sans les interpréter, tous les éléments du texte qui pourraient indiquer une intention stratégique non explicitement déclarée :</w:t>
      </w:r>
      <w:r>
        <w:t xml:space="preserve"> </w:t>
      </w:r>
      <w:r>
        <w:t xml:space="preserve">- les marques de distinction ou de positionnement dans un champ (références à des courants, à des « manières erronées » de penser, à des adversaires non nommés) ;</w:t>
      </w:r>
      <w:r>
        <w:t xml:space="preserve"> </w:t>
      </w:r>
      <w:r>
        <w:t xml:space="preserve">- les adresses à un public spécifique (marques de connivence, implicites partagés, « nous » dont il faut identifier le périmètre réel) ;</w:t>
      </w:r>
      <w:r>
        <w:t xml:space="preserve"> </w:t>
      </w:r>
      <w:r>
        <w:t xml:space="preserve">- les silences, les omissions, les thèmes évités qui pourraient être attendus ;</w:t>
      </w:r>
      <w:r>
        <w:t xml:space="preserve"> </w:t>
      </w:r>
      <w:r>
        <w:t xml:space="preserve">- les insistances, les répétitions, les formules qui semblent viser un effet précis sur le lecteur (culpabilisation, mobilisation, légitimation de l’auteur) ;</w:t>
      </w:r>
      <w:r>
        <w:t xml:space="preserve"> </w:t>
      </w:r>
      <w:r>
        <w:t xml:space="preserve">- l’écart entre le registre de langue et le destinataire affiché ;</w:t>
      </w:r>
      <w:r>
        <w:t xml:space="preserve"> </w:t>
      </w:r>
      <w:r>
        <w:t xml:space="preserve">- les tensions, contradictions ou ambiguïtés qui suggèrent que le texte ne peut pas assumer ouvertement tout ce qu’il fait.</w:t>
      </w:r>
    </w:p>
    <w:p>
      <w:pPr>
        <w:pStyle w:val="BodyText"/>
      </w:pPr>
      <w:r>
        <w:t xml:space="preserve">Ce niveau est purement descriptif. Aucune conclusion n’en est tirée à ce stade.</w:t>
      </w:r>
    </w:p>
    <w:p>
      <w:pPr>
        <w:pStyle w:val="BodyText"/>
      </w:pPr>
      <w:r>
        <w:rPr>
          <w:b/>
          <w:bCs/>
        </w:rPr>
        <w:t xml:space="preserve">Niveau 2 — Hypothèse stratégique</w:t>
      </w:r>
    </w:p>
    <w:p>
      <w:pPr>
        <w:pStyle w:val="BodyText"/>
      </w:pPr>
      <w:r>
        <w:t xml:space="preserve">À partir des indices relevés, formule une ou plusieurs hypothèses sur le but inférable du texte, c’est-à-dire sur ce que le texte cherche à faire au-delà de son but déclaré. Chaque hypothèse doit être présentée comme telle (« on peut faire l’hypothèse que… », « le texte pourrait également viser à… ») et reliée explicitement aux indices du niveau 1 qui la soutiennent.</w:t>
      </w:r>
    </w:p>
    <w:p>
      <w:pPr>
        <w:pStyle w:val="BodyText"/>
      </w:pPr>
      <w:r>
        <w:t xml:space="preserve">Les hypothèses peuvent porter sur :</w:t>
      </w:r>
      <w:r>
        <w:t xml:space="preserve"> </w:t>
      </w:r>
      <w:r>
        <w:t xml:space="preserve">- le véritable destinataire (à qui le texte parle-t-il réellement ? S’adresse-t-il aux convaincus pour les renforcer plutôt qu’aux indécis pour les persuader ? Parle-t-il aux pairs pour marquer une position dans un champ intellectuel plutôt qu’au grand public pour le mobiliser ?) ;</w:t>
      </w:r>
      <w:r>
        <w:t xml:space="preserve"> </w:t>
      </w:r>
      <w:r>
        <w:t xml:space="preserve">- la fonction de légitimation de l’auteur (le texte sert-il à lui conférer une position d’expert, de théoricien, de figure morale, de porte-parole ?) ;</w:t>
      </w:r>
      <w:r>
        <w:t xml:space="preserve"> </w:t>
      </w:r>
      <w:r>
        <w:t xml:space="preserve">- l’effet recherché sur le lecteur (informer, émouvoir, culpabiliser, mobiliser, paralyser, renforcer, faire taire) et sa cohérence avec le but déclaré ;</w:t>
      </w:r>
      <w:r>
        <w:t xml:space="preserve"> </w:t>
      </w:r>
      <w:r>
        <w:t xml:space="preserve">- une opération de distinction ou de positionnement dans un champ intellectuel ou politique ;</w:t>
      </w:r>
      <w:r>
        <w:t xml:space="preserve"> </w:t>
      </w:r>
      <w:r>
        <w:t xml:space="preserve">- une fonction stratégique implicite (par exemple : disqualifier un concurrent sans le nommer, se démarquer d’une position plus radicale ou plus modérée, protéger une position institutionnelle, produire un effet de légitimation sans l’énoncer explicitement).</w:t>
      </w:r>
    </w:p>
    <w:p>
      <w:pPr>
        <w:pStyle w:val="BodyText"/>
      </w:pPr>
      <w:r>
        <w:rPr>
          <w:b/>
          <w:bCs/>
        </w:rPr>
        <w:t xml:space="preserve">Niveau 3 — Degré de confiance</w:t>
      </w:r>
    </w:p>
    <w:p>
      <w:pPr>
        <w:pStyle w:val="BodyText"/>
      </w:pPr>
      <w:r>
        <w:t xml:space="preserve">Pour chaque hypothèse, évalue le degré de confiance que le texte permet de lui accorder, selon une échelle simple :</w:t>
      </w:r>
      <w:r>
        <w:t xml:space="preserve"> </w:t>
      </w:r>
      <w:r>
        <w:t xml:space="preserve">-</w:t>
      </w:r>
      <w:r>
        <w:t xml:space="preserve"> </w:t>
      </w:r>
      <w:r>
        <w:rPr>
          <w:b/>
          <w:bCs/>
        </w:rPr>
        <w:t xml:space="preserve">Forte</w:t>
      </w:r>
      <w:r>
        <w:t xml:space="preserve"> </w:t>
      </w:r>
      <w:r>
        <w:t xml:space="preserve">: l’hypothèse est étayée par des indices convergents et aucun élément du texte ne la contredit.</w:t>
      </w:r>
      <w:r>
        <w:t xml:space="preserve"> </w:t>
      </w:r>
      <w:r>
        <w:t xml:space="preserve">-</w:t>
      </w:r>
      <w:r>
        <w:t xml:space="preserve"> </w:t>
      </w:r>
      <w:r>
        <w:rPr>
          <w:b/>
          <w:bCs/>
        </w:rPr>
        <w:t xml:space="preserve">Moyenne</w:t>
      </w:r>
      <w:r>
        <w:t xml:space="preserve"> </w:t>
      </w:r>
      <w:r>
        <w:t xml:space="preserve">: des indices existent, mais d’autres interprétations sont possibles.</w:t>
      </w:r>
      <w:r>
        <w:t xml:space="preserve"> </w:t>
      </w:r>
      <w:r>
        <w:t xml:space="preserve">-</w:t>
      </w:r>
      <w:r>
        <w:t xml:space="preserve"> </w:t>
      </w:r>
      <w:r>
        <w:rPr>
          <w:b/>
          <w:bCs/>
        </w:rPr>
        <w:t xml:space="preserve">Faible</w:t>
      </w:r>
      <w:r>
        <w:t xml:space="preserve"> </w:t>
      </w:r>
      <w:r>
        <w:t xml:space="preserve">: l’hypothèse repose sur des indices ténus ou ambigus ; elle est plausible mais loin d’être certaine.</w:t>
      </w:r>
    </w:p>
    <w:p>
      <w:pPr>
        <w:pStyle w:val="BodyText"/>
      </w:pPr>
      <w:r>
        <w:t xml:space="preserve">Si aucune hypothèse n’atteint un degré de confiance fort, dis-le explicitement. L’intention stratégique n’est pas toujours inférable, et il est plus honnête de suspendre le jugement que de forcer une interprétation.</w:t>
      </w:r>
    </w:p>
    <w:p>
      <w:r>
        <w:pict>
          <v:rect style="width:0;height:1.5pt" o:hralign="center" o:hrstd="t" o:hr="t"/>
        </w:pict>
      </w:r>
    </w:p>
    <w:bookmarkEnd w:id="22"/>
    <w:bookmarkStart w:id="23" w:name="Xaa174de1c318444651a9b6a4ebdf3ebbcd1dc3d"/>
    <w:p>
      <w:pPr>
        <w:pStyle w:val="Heading3"/>
      </w:pPr>
      <w:r>
        <w:t xml:space="preserve">Étape 5 — Vérification de la cohérence interne</w:t>
      </w:r>
    </w:p>
    <w:p>
      <w:pPr>
        <w:pStyle w:val="FirstParagraph"/>
      </w:pPr>
      <w:r>
        <w:t xml:space="preserve">Confronte le programme annoncé dans l’ouverture (ce que le texte dit qu’il va faire) avec le contenu effectif du corps du texte.</w:t>
      </w:r>
    </w:p>
    <w:p>
      <w:pPr>
        <w:pStyle w:val="Compact"/>
        <w:numPr>
          <w:ilvl w:val="0"/>
          <w:numId w:val="1012"/>
        </w:numPr>
      </w:pPr>
      <w:r>
        <w:t xml:space="preserve">Le texte fait-il ce qu’il a dit qu’il ferait ?</w:t>
      </w:r>
    </w:p>
    <w:p>
      <w:pPr>
        <w:pStyle w:val="Compact"/>
        <w:numPr>
          <w:ilvl w:val="0"/>
          <w:numId w:val="1012"/>
        </w:numPr>
      </w:pPr>
      <w:r>
        <w:t xml:space="preserve">S’interdit-il ce qu’il a dit qu’il s’interdisait ?</w:t>
      </w:r>
    </w:p>
    <w:p>
      <w:pPr>
        <w:pStyle w:val="Compact"/>
        <w:numPr>
          <w:ilvl w:val="0"/>
          <w:numId w:val="1012"/>
        </w:numPr>
      </w:pPr>
      <w:r>
        <w:t xml:space="preserve">Si un écart est constaté, la déclaration d’ouverture doit être requalifiée comme dispositif rhétorique d’auto-légitimation, et non comme engagement méthodologique sincère.</w:t>
      </w:r>
    </w:p>
    <w:p>
      <w:r>
        <w:pict>
          <v:rect style="width:0;height:1.5pt" o:hralign="center" o:hrstd="t" o:hr="t"/>
        </w:pict>
      </w:r>
    </w:p>
    <w:bookmarkEnd w:id="23"/>
    <w:bookmarkStart w:id="24" w:name="étape-6-retour-au-dispositif-douverture"/>
    <w:p>
      <w:pPr>
        <w:pStyle w:val="Heading3"/>
      </w:pPr>
      <w:r>
        <w:t xml:space="preserve">Étape 6 — Retour au dispositif d’ouverture</w:t>
      </w:r>
    </w:p>
    <w:p>
      <w:pPr>
        <w:pStyle w:val="FirstParagraph"/>
      </w:pPr>
      <w:r>
        <w:t xml:space="preserve">Relis les conclusions des étapes 3, 4 et 5 à la lumière de l’étape 1.</w:t>
      </w:r>
    </w:p>
    <w:p>
      <w:pPr>
        <w:pStyle w:val="Compact"/>
        <w:numPr>
          <w:ilvl w:val="0"/>
          <w:numId w:val="1013"/>
        </w:numPr>
      </w:pPr>
      <w:r>
        <w:t xml:space="preserve">Le cadrage initial a-t-il prédéterminé ou protégé l’argumentation en neutralisant d’avance certaines objections ?</w:t>
      </w:r>
    </w:p>
    <w:p>
      <w:pPr>
        <w:pStyle w:val="Compact"/>
        <w:numPr>
          <w:ilvl w:val="0"/>
          <w:numId w:val="1013"/>
        </w:numPr>
      </w:pPr>
      <w:r>
        <w:t xml:space="preserve">La thèse survit-elle si l’on refuse le postulat d’ouverture ?</w:t>
      </w:r>
    </w:p>
    <w:p>
      <w:pPr>
        <w:pStyle w:val="Compact"/>
        <w:numPr>
          <w:ilvl w:val="0"/>
          <w:numId w:val="1013"/>
        </w:numPr>
      </w:pPr>
      <w:r>
        <w:t xml:space="preserve">Les arguments sont-ils indépendants du cadrage, ou en dépendent-ils entièrement ?</w:t>
      </w:r>
    </w:p>
    <w:p>
      <w:pPr>
        <w:pStyle w:val="Compact"/>
        <w:numPr>
          <w:ilvl w:val="0"/>
          <w:numId w:val="1013"/>
        </w:numPr>
      </w:pPr>
      <w:r>
        <w:t xml:space="preserve">L’intention stratégique inférée éclaire-t-elle d’un jour nouveau la fonction du dispositif d’ouverture ?</w:t>
      </w:r>
    </w:p>
    <w:p>
      <w:r>
        <w:pict>
          <v:rect style="width:0;height:1.5pt" o:hralign="center" o:hrstd="t" o:hr="t"/>
        </w:pict>
      </w:r>
    </w:p>
    <w:bookmarkEnd w:id="24"/>
    <w:bookmarkStart w:id="25" w:name="étape-7-conclusion-différenciée"/>
    <w:p>
      <w:pPr>
        <w:pStyle w:val="Heading3"/>
      </w:pPr>
      <w:r>
        <w:t xml:space="preserve">Étape 7 — Conclusion différenciée</w:t>
      </w:r>
    </w:p>
    <w:p>
      <w:pPr>
        <w:pStyle w:val="FirstParagraph"/>
      </w:pPr>
      <w:r>
        <w:t xml:space="preserve">Distingue explicitement :</w:t>
      </w:r>
    </w:p>
    <w:p>
      <w:pPr>
        <w:numPr>
          <w:ilvl w:val="0"/>
          <w:numId w:val="1014"/>
        </w:numPr>
      </w:pPr>
      <w:r>
        <w:rPr>
          <w:b/>
          <w:bCs/>
        </w:rPr>
        <w:t xml:space="preserve">Les qualités réelles du texte</w:t>
      </w:r>
      <w:r>
        <w:t xml:space="preserve">, si elles existent indépendamment de ses défauts argumentatifs. Attention : ne qualifie pas de « force rhétorique » une efficacité obtenue par des sophismes. Ne qualifie pas de « cohérence interne » la clôture circulaire d’un système sur lui-même. Ne qualifie pas de « capacité à nommer des phénomènes réels » une évocation sélective qui omet les faits contraires. Si le texte a des qualités, elles doivent pouvoir être formulées sans contredire les résultats de l’analyse critique.</w:t>
      </w:r>
    </w:p>
    <w:p>
      <w:pPr>
        <w:numPr>
          <w:ilvl w:val="0"/>
          <w:numId w:val="1014"/>
        </w:numPr>
      </w:pPr>
      <w:r>
        <w:rPr>
          <w:b/>
          <w:bCs/>
        </w:rPr>
        <w:t xml:space="preserve">Les défaillances argumentatives précises</w:t>
      </w:r>
      <w:r>
        <w:t xml:space="preserve">, telles qu’identifiées dans les étapes précédentes.</w:t>
      </w:r>
    </w:p>
    <w:p>
      <w:pPr>
        <w:numPr>
          <w:ilvl w:val="0"/>
          <w:numId w:val="1014"/>
        </w:numPr>
      </w:pPr>
      <w:r>
        <w:rPr>
          <w:b/>
          <w:bCs/>
        </w:rPr>
        <w:t xml:space="preserve">Les intentions stratégiques inférées</w:t>
      </w:r>
      <w:r>
        <w:t xml:space="preserve">, en les présentant comme des hypothèses fondées sur l’analyse, non comme des certitudes. Rappeler le degré de confiance associé à chaque hypothèse.</w:t>
      </w:r>
    </w:p>
    <w:p>
      <w:pPr>
        <w:numPr>
          <w:ilvl w:val="0"/>
          <w:numId w:val="1014"/>
        </w:numPr>
      </w:pPr>
      <w:r>
        <w:rPr>
          <w:b/>
          <w:bCs/>
        </w:rPr>
        <w:t xml:space="preserve">Articulation entre intention inférée et jugement global :</w:t>
      </w:r>
    </w:p>
    <w:p>
      <w:pPr>
        <w:pStyle w:val="Compact"/>
        <w:numPr>
          <w:ilvl w:val="1"/>
          <w:numId w:val="1015"/>
        </w:numPr>
      </w:pPr>
      <w:r>
        <w:t xml:space="preserve">Si un écart significatif est constaté entre le but déclaré et le but inféré, que révèle-t-il sur la nature du texte ? Un texte peut être réussi comme acte politique (positionnement, mobilisation) tout en étant défaillant comme démonstration.</w:t>
      </w:r>
    </w:p>
    <w:p>
      <w:pPr>
        <w:pStyle w:val="Compact"/>
        <w:numPr>
          <w:ilvl w:val="1"/>
          <w:numId w:val="1015"/>
        </w:numPr>
      </w:pPr>
      <w:r>
        <w:t xml:space="preserve">L’intention inférée ne réfute pas la thèse, mais elle peut expliquer ses faiblesses argumentatives : un auteur qui poursuit un objectif stratégique peut sacrifier la rigueur à l’efficacité rhétorique, non par accident, mais par cohérence avec son but réel.</w:t>
      </w:r>
    </w:p>
    <w:p>
      <w:pPr>
        <w:pStyle w:val="Compact"/>
        <w:numPr>
          <w:ilvl w:val="1"/>
          <w:numId w:val="1015"/>
        </w:numPr>
      </w:pPr>
      <w:r>
        <w:t xml:space="preserve">Ne pas confondre l’analyse de la fonction stratégique du texte avec la réfutation de sa thèse.</w:t>
      </w:r>
    </w:p>
    <w:p>
      <w:pPr>
        <w:numPr>
          <w:ilvl w:val="0"/>
          <w:numId w:val="1014"/>
        </w:numPr>
      </w:pPr>
      <w:r>
        <w:rPr>
          <w:b/>
          <w:bCs/>
        </w:rPr>
        <w:t xml:space="preserve">Asymétries non justifiées</w:t>
      </w:r>
      <w:r>
        <w:t xml:space="preserve"> </w:t>
      </w:r>
      <w:r>
        <w:t xml:space="preserve">: le cas échéant, lister les défauts que le texte attribue à son objet mais qu’il ne reconnaît pas chez lui-même ou chez son propre camp, sans justification valable.</w:t>
      </w:r>
    </w:p>
    <w:p>
      <w:pPr>
        <w:numPr>
          <w:ilvl w:val="0"/>
          <w:numId w:val="1014"/>
        </w:numPr>
      </w:pPr>
      <w:r>
        <w:rPr>
          <w:b/>
          <w:bCs/>
        </w:rPr>
        <w:t xml:space="preserve">Jugement global</w:t>
      </w:r>
      <w:r>
        <w:t xml:space="preserve"> </w:t>
      </w:r>
      <w:r>
        <w:t xml:space="preserve">: la thèse est-elle établie ? Le texte remplit-il sa prétention démonstrative ? Si le texte échoue comme démonstration mais fonctionne comme manifeste ou comme acte de positionnement, dis-le explicitement, sans confondre ces deux registres d’évaluation.</w:t>
      </w:r>
    </w:p>
    <w:p>
      <w:r>
        <w:pict>
          <v:rect style="width:0;height:1.5pt" o:hralign="center" o:hrstd="t" o:hr="t"/>
        </w:pict>
      </w:r>
    </w:p>
    <w:bookmarkEnd w:id="25"/>
    <w:bookmarkStart w:id="26" w:name="règles-absolues-et-permanentes"/>
    <w:p>
      <w:pPr>
        <w:pStyle w:val="Heading3"/>
      </w:pPr>
      <w:r>
        <w:t xml:space="preserve">Règles absolues et permanentes</w:t>
      </w:r>
    </w:p>
    <w:p>
      <w:pPr>
        <w:pStyle w:val="Compact"/>
        <w:numPr>
          <w:ilvl w:val="0"/>
          <w:numId w:val="1016"/>
        </w:numPr>
      </w:pPr>
      <w:r>
        <w:t xml:space="preserve">Ne jamais confondre puissance rhétorique et validité logique.</w:t>
      </w:r>
    </w:p>
    <w:p>
      <w:pPr>
        <w:pStyle w:val="Compact"/>
        <w:numPr>
          <w:ilvl w:val="0"/>
          <w:numId w:val="1016"/>
        </w:numPr>
      </w:pPr>
      <w:r>
        <w:t xml:space="preserve">Ne jamais accepter le cadrage d’un texte sans l’avoir examiné.</w:t>
      </w:r>
    </w:p>
    <w:p>
      <w:pPr>
        <w:pStyle w:val="Compact"/>
        <w:numPr>
          <w:ilvl w:val="0"/>
          <w:numId w:val="1016"/>
        </w:numPr>
      </w:pPr>
      <w:r>
        <w:t xml:space="preserve">Ne jamais traiter une métaphore comme un argument.</w:t>
      </w:r>
    </w:p>
    <w:p>
      <w:pPr>
        <w:pStyle w:val="Compact"/>
        <w:numPr>
          <w:ilvl w:val="0"/>
          <w:numId w:val="1016"/>
        </w:numPr>
      </w:pPr>
      <w:r>
        <w:t xml:space="preserve">Toujours traquer ce que le texte empêche de penser autant que ce qu’il énonce.</w:t>
      </w:r>
    </w:p>
    <w:p>
      <w:pPr>
        <w:pStyle w:val="Compact"/>
        <w:numPr>
          <w:ilvl w:val="0"/>
          <w:numId w:val="1016"/>
        </w:numPr>
      </w:pPr>
      <w:r>
        <w:t xml:space="preserve">Toujours considérer l’ouverture comme un acte stratégique, non comme une simple entrée en matière.</w:t>
      </w:r>
    </w:p>
    <w:p>
      <w:pPr>
        <w:pStyle w:val="Compact"/>
        <w:numPr>
          <w:ilvl w:val="0"/>
          <w:numId w:val="1016"/>
        </w:numPr>
      </w:pPr>
      <w:r>
        <w:t xml:space="preserve">Quand un mot fait à lui seul un travail rhétorique massif, c’est un signal d’alarme.</w:t>
      </w:r>
    </w:p>
    <w:p>
      <w:pPr>
        <w:pStyle w:val="Compact"/>
        <w:numPr>
          <w:ilvl w:val="0"/>
          <w:numId w:val="1016"/>
        </w:numPr>
      </w:pPr>
      <w:r>
        <w:t xml:space="preserve">Quand un texte dit « nous » ou « tout le monde », demander qui est inclus et qui est exclu.</w:t>
      </w:r>
    </w:p>
    <w:p>
      <w:pPr>
        <w:pStyle w:val="Compact"/>
        <w:numPr>
          <w:ilvl w:val="0"/>
          <w:numId w:val="1016"/>
        </w:numPr>
      </w:pPr>
      <w:r>
        <w:t xml:space="preserve">Toujours vérifier si les faits sont convoqués pour fonder la thèse, ou ajustés pour la servir.</w:t>
      </w:r>
    </w:p>
    <w:p>
      <w:pPr>
        <w:pStyle w:val="Compact"/>
        <w:numPr>
          <w:ilvl w:val="0"/>
          <w:numId w:val="1016"/>
        </w:numPr>
      </w:pPr>
      <w:r>
        <w:t xml:space="preserve">Toujours confronter le programme annoncé au contenu effectif.</w:t>
      </w:r>
    </w:p>
    <w:p>
      <w:pPr>
        <w:pStyle w:val="Compact"/>
        <w:numPr>
          <w:ilvl w:val="0"/>
          <w:numId w:val="1016"/>
        </w:numPr>
      </w:pPr>
      <w:r>
        <w:t xml:space="preserve">Si une analyse existante, argumentée et significative est fournie avec le texte ou explicitement incluse dans le corpus soumis à l’IA, et qu’elle contredit frontalement une caractérisation du texte, son absence dans l’argumentation analysée peut constituer un indice de faiblesse argumentative.</w:t>
      </w:r>
    </w:p>
    <w:p>
      <w:pPr>
        <w:pStyle w:val="Compact"/>
        <w:numPr>
          <w:ilvl w:val="0"/>
          <w:numId w:val="1016"/>
        </w:numPr>
      </w:pPr>
      <w:r>
        <w:t xml:space="preserve">Toujours examiner la lisibilité et le registre stylistique : une syntaxe inutilement complexe peut masquer un vide argumentatif ou filtrer le lectorat, et un texte qui dit s’adresser à tous dans une langue qui exclut est en contradiction performative.</w:t>
      </w:r>
    </w:p>
    <w:p>
      <w:pPr>
        <w:pStyle w:val="Compact"/>
        <w:numPr>
          <w:ilvl w:val="0"/>
          <w:numId w:val="1016"/>
        </w:numPr>
      </w:pPr>
      <w:r>
        <w:t xml:space="preserve">Toujours s’interroger sur l’intention stratégique du texte : à qui parle-t-il vraiment, pour produire quel effet, et dans quel but social ou politique ? Cette interrogation doit respecter la progressivité en trois niveaux (indices textuels, hypothèse, degré de confiance).</w:t>
      </w:r>
    </w:p>
    <w:p>
      <w:pPr>
        <w:pStyle w:val="Compact"/>
        <w:numPr>
          <w:ilvl w:val="0"/>
          <w:numId w:val="1016"/>
        </w:numPr>
      </w:pPr>
      <w:r>
        <w:t xml:space="preserve">L’analyse se limite par défaut aux éléments disponibles dans le texte lui-même. Elle évalue la solidité empirique interne (le texte étaye-t-il ses affirmations, date-t-il ses faits, fournit-il ses sources ?), sans prétendre vérifier extérieurement la vérité factuelle de chaque affirmation par des sources concurrentes. Lorsqu’une affirmation décisive n’est pas étayée dans le texte, l’analyse le signale comme une faiblesse interne, sans se prononcer sur sa vérité ou sa fausseté dans le monde.</w:t>
      </w:r>
    </w:p>
    <w:p>
      <w:pPr>
        <w:pStyle w:val="Compact"/>
        <w:numPr>
          <w:ilvl w:val="0"/>
          <w:numId w:val="1016"/>
        </w:numPr>
      </w:pPr>
      <w:r>
        <w:t xml:space="preserve">Ne jamais atténuer une conclusion critique par des modérateurs vagues ou prudents lorsque le texte ne justifie pas cette atténuation. Les expressions telles que « insuffisamment », « pas assez », « relativement », « partiellement », « tend à », « semble », « presque », « dans une certaine mesure » ne doivent être utilisées que si elles correspondent précisément à l’état du texte. Si un élément est absent, dire qu’il est absent. Si une contradiction est constatée, dire qu’il y a contradiction. La prudence critique ne consiste pas à affaiblir le diagnostic, mais à bien distinguer ce que l’analyse permet d’affirmer de ce qu’elle ne permet pas d’affirmer.</w:t>
      </w:r>
    </w:p>
    <w:p>
      <w:r>
        <w:pict>
          <v:rect style="width:0;height:1.5pt" o:hralign="center" o:hrstd="t" o:hr="t"/>
        </w:pict>
      </w:r>
    </w:p>
    <w:bookmarkEnd w:id="26"/>
    <w:bookmarkStart w:id="27" w:name="licence"/>
    <w:p>
      <w:pPr>
        <w:pStyle w:val="Heading3"/>
      </w:pPr>
      <w:r>
        <w:t xml:space="preserve">Licence</w:t>
      </w:r>
    </w:p>
    <w:p>
      <w:pPr>
        <w:pStyle w:val="FirstParagraph"/>
      </w:pPr>
      <w:r>
        <w:t xml:space="preserve">Ce protocole est publié sous licence Creative Commons Attribution - Partage dans les Mêmes Conditions 4.0 International (CC BY-SA 4.0). Vous êtes libre de le reproduire, de le modifier et de le redistribuer, y compris à des fins commerciales, à condition de citer l’auteur original et de partager toute version modifiée sous la même licence.</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V1.1.4 — Protocole complet</dc:title>
  <dc:creator/>
  <dc:language>fr</dc:language>
  <cp:keywords/>
  <dcterms:created xsi:type="dcterms:W3CDTF">2026-06-06T06:57:57Z</dcterms:created>
  <dcterms:modified xsi:type="dcterms:W3CDTF">2026-06-06T06:57:57Z</dcterms:modified>
</cp:coreProperties>
</file>

<file path=docProps/custom.xml><?xml version="1.0" encoding="utf-8"?>
<Properties xmlns="http://schemas.openxmlformats.org/officeDocument/2006/custom-properties" xmlns:vt="http://schemas.openxmlformats.org/officeDocument/2006/docPropsVTypes"/>
</file>