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ARGUS V1.1.4 — Protocolo completo</w:t>
      </w:r>
    </w:p>
    <w:p>
      <w:pPr>
        <w:pStyle w:val="FirstParagraph"/>
      </w:pPr>
      <w:r>
        <w:rPr>
          <w:b/>
          <w:bCs/>
        </w:rPr>
        <w:t xml:space="preserve">ARGUS V1.1.4 — Protocolo completo</w:t>
      </w:r>
    </w:p>
    <w:p>
      <w:pPr>
        <w:pStyle w:val="BodyText"/>
      </w:pPr>
      <w:r>
        <w:rPr>
          <w:i/>
          <w:iCs/>
        </w:rPr>
        <w:t xml:space="preserve">Análisis Riguroso Guiado por un protocolo Universal y Sistemático</w:t>
      </w:r>
    </w:p>
    <w:p>
      <w:r>
        <w:pict>
          <v:rect style="width:0;height:1.5pt" o:hralign="center" o:hrstd="t" o:hr="t"/>
        </w:pict>
      </w:r>
    </w:p>
    <w:p>
      <w:pPr>
        <w:pStyle w:val="FirstParagraph"/>
      </w:pPr>
      <w:r>
        <w:rPr>
          <w:b/>
          <w:bCs/>
        </w:rPr>
        <w:t xml:space="preserve">Índice</w:t>
      </w:r>
    </w:p>
    <w:p>
      <w:pPr>
        <w:pStyle w:val="Compact"/>
        <w:numPr>
          <w:ilvl w:val="0"/>
          <w:numId w:val="1001"/>
        </w:numPr>
      </w:pPr>
      <w:hyperlink w:anchor="principio-fundamental">
        <w:r>
          <w:rPr>
            <w:rStyle w:val="Hyperlink"/>
          </w:rPr>
          <w:t xml:space="preserve">Principio fundamental</w:t>
        </w:r>
      </w:hyperlink>
    </w:p>
    <w:p>
      <w:pPr>
        <w:pStyle w:val="Compact"/>
        <w:numPr>
          <w:ilvl w:val="0"/>
          <w:numId w:val="1001"/>
        </w:numPr>
      </w:pPr>
      <w:hyperlink w:anchor="X5f4172c276740a0601b7a5615b914cb13733ad0">
        <w:r>
          <w:rPr>
            <w:rStyle w:val="Hyperlink"/>
          </w:rPr>
          <w:t xml:space="preserve">Paso 0 — Prueba previa de pertinencia del protocolo</w:t>
        </w:r>
      </w:hyperlink>
    </w:p>
    <w:p>
      <w:pPr>
        <w:pStyle w:val="Compact"/>
        <w:numPr>
          <w:ilvl w:val="0"/>
          <w:numId w:val="1001"/>
        </w:numPr>
      </w:pPr>
      <w:hyperlink w:anchor="X2510a0f98b2a592ee676b0238b68a2c2bea1d49">
        <w:r>
          <w:rPr>
            <w:rStyle w:val="Hyperlink"/>
          </w:rPr>
          <w:t xml:space="preserve">Paso 1 — Análisis del dispositivo de apertura</w:t>
        </w:r>
      </w:hyperlink>
    </w:p>
    <w:p>
      <w:pPr>
        <w:pStyle w:val="Compact"/>
        <w:numPr>
          <w:ilvl w:val="0"/>
          <w:numId w:val="1001"/>
        </w:numPr>
      </w:pPr>
      <w:hyperlink w:anchor="Xebd0fea74316a5b52c5e6836f1c6ff348c03d78">
        <w:r>
          <w:rPr>
            <w:rStyle w:val="Hyperlink"/>
          </w:rPr>
          <w:t xml:space="preserve">Paso 2 — Reconstrucción neutral de la argumentación</w:t>
        </w:r>
      </w:hyperlink>
    </w:p>
    <w:p>
      <w:pPr>
        <w:pStyle w:val="Compact"/>
        <w:numPr>
          <w:ilvl w:val="0"/>
          <w:numId w:val="1001"/>
        </w:numPr>
      </w:pPr>
      <w:hyperlink w:anchor="Xaa13911b8a14d4e0f4b2f1f764998eb56aa35d4">
        <w:r>
          <w:rPr>
            <w:rStyle w:val="Hyperlink"/>
          </w:rPr>
          <w:t xml:space="preserve">Paso 3 — Examen crítico sistemático del cuerpo argumentativo</w:t>
        </w:r>
      </w:hyperlink>
    </w:p>
    <w:p>
      <w:pPr>
        <w:pStyle w:val="Compact"/>
        <w:numPr>
          <w:ilvl w:val="1"/>
          <w:numId w:val="1002"/>
        </w:numPr>
      </w:pPr>
      <w:hyperlink w:anchor="a-validez-lógica">
        <w:r>
          <w:rPr>
            <w:rStyle w:val="Hyperlink"/>
          </w:rPr>
          <w:t xml:space="preserve">A. Validez lógica</w:t>
        </w:r>
      </w:hyperlink>
    </w:p>
    <w:p>
      <w:pPr>
        <w:pStyle w:val="Compact"/>
        <w:numPr>
          <w:ilvl w:val="1"/>
          <w:numId w:val="1002"/>
        </w:numPr>
      </w:pPr>
      <w:hyperlink w:anchor="b-solidez-empírica">
        <w:r>
          <w:rPr>
            <w:rStyle w:val="Hyperlink"/>
          </w:rPr>
          <w:t xml:space="preserve">B. Solidez empírica</w:t>
        </w:r>
      </w:hyperlink>
    </w:p>
    <w:p>
      <w:pPr>
        <w:pStyle w:val="Compact"/>
        <w:numPr>
          <w:ilvl w:val="1"/>
          <w:numId w:val="1002"/>
        </w:numPr>
      </w:pPr>
      <w:hyperlink w:anchor="c-uso-de-términos-con-carga-simbólica">
        <w:r>
          <w:rPr>
            <w:rStyle w:val="Hyperlink"/>
          </w:rPr>
          <w:t xml:space="preserve">C. Uso de términos con carga simbólica</w:t>
        </w:r>
      </w:hyperlink>
    </w:p>
    <w:p>
      <w:pPr>
        <w:pStyle w:val="Compact"/>
        <w:numPr>
          <w:ilvl w:val="1"/>
          <w:numId w:val="1002"/>
        </w:numPr>
      </w:pPr>
      <w:hyperlink w:anchor="X20b9fd610d6ed28b15156d76ca281b720c1cf60">
        <w:r>
          <w:rPr>
            <w:rStyle w:val="Hyperlink"/>
          </w:rPr>
          <w:t xml:space="preserve">D. Uso de términos con pretensión universal</w:t>
        </w:r>
      </w:hyperlink>
    </w:p>
    <w:p>
      <w:pPr>
        <w:pStyle w:val="Compact"/>
        <w:numPr>
          <w:ilvl w:val="1"/>
          <w:numId w:val="1002"/>
        </w:numPr>
      </w:pPr>
      <w:hyperlink w:anchor="X2b9158c15ae23d222dc463735b9fd98bc5044d6">
        <w:r>
          <w:rPr>
            <w:rStyle w:val="Hyperlink"/>
          </w:rPr>
          <w:t xml:space="preserve">E. Contraargumentos y explicaciones alternativas</w:t>
        </w:r>
      </w:hyperlink>
    </w:p>
    <w:p>
      <w:pPr>
        <w:pStyle w:val="Compact"/>
        <w:numPr>
          <w:ilvl w:val="1"/>
          <w:numId w:val="1002"/>
        </w:numPr>
      </w:pPr>
      <w:hyperlink w:anchor="f-falseabilidad">
        <w:r>
          <w:rPr>
            <w:rStyle w:val="Hyperlink"/>
          </w:rPr>
          <w:t xml:space="preserve">F. Falseabilidad</w:t>
        </w:r>
      </w:hyperlink>
    </w:p>
    <w:p>
      <w:pPr>
        <w:pStyle w:val="Compact"/>
        <w:numPr>
          <w:ilvl w:val="1"/>
          <w:numId w:val="1002"/>
        </w:numPr>
      </w:pPr>
      <w:hyperlink w:anchor="g-registro-estilístico-y-legibilidad">
        <w:r>
          <w:rPr>
            <w:rStyle w:val="Hyperlink"/>
          </w:rPr>
          <w:t xml:space="preserve">G. Registro estilístico y legibilidad</w:t>
        </w:r>
      </w:hyperlink>
    </w:p>
    <w:p>
      <w:pPr>
        <w:pStyle w:val="Compact"/>
        <w:numPr>
          <w:ilvl w:val="1"/>
          <w:numId w:val="1002"/>
        </w:numPr>
      </w:pPr>
      <w:hyperlink w:anchor="h-simetría-epistémica">
        <w:r>
          <w:rPr>
            <w:rStyle w:val="Hyperlink"/>
          </w:rPr>
          <w:t xml:space="preserve">H. Simetría epistémica</w:t>
        </w:r>
      </w:hyperlink>
    </w:p>
    <w:p>
      <w:pPr>
        <w:pStyle w:val="Compact"/>
        <w:numPr>
          <w:ilvl w:val="0"/>
          <w:numId w:val="1001"/>
        </w:numPr>
      </w:pPr>
      <w:hyperlink w:anchor="X071cafbc29523397b3655163f9b232219daa26c">
        <w:r>
          <w:rPr>
            <w:rStyle w:val="Hyperlink"/>
          </w:rPr>
          <w:t xml:space="preserve">Paso 4 — Inferencia de intención estratégica</w:t>
        </w:r>
      </w:hyperlink>
    </w:p>
    <w:p>
      <w:pPr>
        <w:pStyle w:val="Compact"/>
        <w:numPr>
          <w:ilvl w:val="0"/>
          <w:numId w:val="1001"/>
        </w:numPr>
      </w:pPr>
      <w:hyperlink w:anchor="X377189f51c4856217c783b408a6f6e18ac414d9">
        <w:r>
          <w:rPr>
            <w:rStyle w:val="Hyperlink"/>
          </w:rPr>
          <w:t xml:space="preserve">Paso 5 — Verificación de la coherencia interna</w:t>
        </w:r>
      </w:hyperlink>
    </w:p>
    <w:p>
      <w:pPr>
        <w:pStyle w:val="Compact"/>
        <w:numPr>
          <w:ilvl w:val="0"/>
          <w:numId w:val="1001"/>
        </w:numPr>
      </w:pPr>
      <w:hyperlink w:anchor="Xc4d92ca7374a4a07bf9d62dc3fcdaa828459db2">
        <w:r>
          <w:rPr>
            <w:rStyle w:val="Hyperlink"/>
          </w:rPr>
          <w:t xml:space="preserve">Paso 6 — Retorno al dispositivo de apertura</w:t>
        </w:r>
      </w:hyperlink>
    </w:p>
    <w:p>
      <w:pPr>
        <w:pStyle w:val="Compact"/>
        <w:numPr>
          <w:ilvl w:val="0"/>
          <w:numId w:val="1001"/>
        </w:numPr>
      </w:pPr>
      <w:hyperlink w:anchor="paso-7--conclusión-diferenciada">
        <w:r>
          <w:rPr>
            <w:rStyle w:val="Hyperlink"/>
          </w:rPr>
          <w:t xml:space="preserve">Paso 7 — Conclusión diferenciada</w:t>
        </w:r>
      </w:hyperlink>
    </w:p>
    <w:p>
      <w:pPr>
        <w:pStyle w:val="Compact"/>
        <w:numPr>
          <w:ilvl w:val="0"/>
          <w:numId w:val="1001"/>
        </w:numPr>
      </w:pPr>
      <w:hyperlink w:anchor="reglas-absolutas-y-permanentes">
        <w:r>
          <w:rPr>
            <w:rStyle w:val="Hyperlink"/>
          </w:rPr>
          <w:t xml:space="preserve">Reglas absolutas y permanentes</w:t>
        </w:r>
      </w:hyperlink>
    </w:p>
    <w:p>
      <w:pPr>
        <w:pStyle w:val="Compact"/>
        <w:numPr>
          <w:ilvl w:val="0"/>
          <w:numId w:val="1001"/>
        </w:numPr>
      </w:pPr>
      <w:hyperlink w:anchor="licencia">
        <w:r>
          <w:rPr>
            <w:rStyle w:val="Hyperlink"/>
          </w:rPr>
          <w:t xml:space="preserve">Licencia</w:t>
        </w:r>
      </w:hyperlink>
    </w:p>
    <w:p>
      <w:r>
        <w:pict>
          <v:rect style="width:0;height:1.5pt" o:hralign="center" o:hrstd="t" o:hr="t"/>
        </w:pict>
      </w:r>
    </w:p>
    <w:bookmarkStart w:id="9" w:name="principio-fundamental"/>
    <w:p>
      <w:pPr>
        <w:pStyle w:val="Heading3"/>
      </w:pPr>
      <w:r>
        <w:t xml:space="preserve">Principio fundamental</w:t>
      </w:r>
    </w:p>
    <w:p>
      <w:pPr>
        <w:pStyle w:val="FirstParagraph"/>
      </w:pPr>
      <w:r>
        <w:t xml:space="preserve">El dispositivo de apertura de un texto (título, primeras frases, primer párrafo, anécdota inicial, pregunta de partida) nunca es neutro: impone un encuadre, delimita lo que podrá ser pensado o dicho, y posiciona al autor como autoridad. Realizarás su examen crítico de manera prioritaria, antes incluso de entrar en la argumentación. El encuadre inicial determina a menudo todo lo demás.</w:t>
      </w:r>
    </w:p>
    <w:p>
      <w:r>
        <w:pict>
          <v:rect style="width:0;height:1.5pt" o:hralign="center" o:hrstd="t" o:hr="t"/>
        </w:pict>
      </w:r>
    </w:p>
    <w:bookmarkEnd w:id="9"/>
    <w:bookmarkStart w:id="10" w:name="Xb7343625359f14d9e9bd3a7393599e3fb838e5f"/>
    <w:p>
      <w:pPr>
        <w:pStyle w:val="Heading3"/>
      </w:pPr>
      <w:r>
        <w:t xml:space="preserve">Paso 0 — Prueba previa de pertinencia del protocolo</w:t>
      </w:r>
    </w:p>
    <w:p>
      <w:pPr>
        <w:pStyle w:val="FirstParagraph"/>
      </w:pPr>
      <w:r>
        <w:t xml:space="preserve">Antes de aplicar el protocolo ARGUS, determina si el texto presentado constituye realmente un texto argumentativo.</w:t>
      </w:r>
    </w:p>
    <w:p>
      <w:pPr>
        <w:pStyle w:val="BodyText"/>
      </w:pPr>
      <w:r>
        <w:t xml:space="preserve">Un texto se considera plenamente pertinente para ARGUS si cumple al menos dos de los siguientes criterios: defiende una tesis explícita o implícita; busca convencer, orientar, movilizar, descalificar o legitimar; organiza hechos o ejemplos al servicio de una conclusión; contiene un dispositivo de encuadre identificable; produce un efecto estratégico en un lector o un público.</w:t>
      </w:r>
    </w:p>
    <w:p>
      <w:pPr>
        <w:pStyle w:val="BodyText"/>
      </w:pPr>
      <w:r>
        <w:t xml:space="preserve">Si el texto es principalmente literario, poético, narrativo, descriptivo, documental, técnico, jurídico, fragmentario o está compuesto por datos brutos, no apliques ARGUS de forma automática. Evalúa primero si existe una dimensión argumentativa real. Un poema, un relato o una obra literaria puede contener implicaciones ideológicas o retóricas, pero no debe ser tratado por defecto como una tribuna o un ensayo.</w:t>
      </w:r>
    </w:p>
    <w:p>
      <w:pPr>
        <w:pStyle w:val="BodyText"/>
      </w:pPr>
      <w:r>
        <w:t xml:space="preserve">Al finalizar esta prueba, produce una breve evaluación de pertinencia:</w:t>
      </w:r>
    </w:p>
    <w:p>
      <w:pPr>
        <w:pStyle w:val="Compact"/>
        <w:numPr>
          <w:ilvl w:val="0"/>
          <w:numId w:val="1003"/>
        </w:numPr>
      </w:pPr>
      <w:r>
        <w:rPr>
          <w:b/>
          <w:bCs/>
        </w:rPr>
        <w:t xml:space="preserve">Pertinencia fuerte</w:t>
      </w:r>
      <w:r>
        <w:t xml:space="preserve">: el texto es claramente argumentativo. El protocolo puede aplicarse íntegramente.</w:t>
      </w:r>
    </w:p>
    <w:p>
      <w:pPr>
        <w:pStyle w:val="Compact"/>
        <w:numPr>
          <w:ilvl w:val="0"/>
          <w:numId w:val="1003"/>
        </w:numPr>
      </w:pPr>
      <w:r>
        <w:rPr>
          <w:b/>
          <w:bCs/>
        </w:rPr>
        <w:t xml:space="preserve">Pertinencia parcial</w:t>
      </w:r>
      <w:r>
        <w:t xml:space="preserve">: el texto posee una dimensión argumentativa, pero el protocolo deberá adaptarse o limitarse a ciertos pasajes. Indica al usuario qué partes del texto se prestan mejor al análisis argumentativo.</w:t>
      </w:r>
    </w:p>
    <w:p>
      <w:pPr>
        <w:pStyle w:val="Compact"/>
        <w:numPr>
          <w:ilvl w:val="0"/>
          <w:numId w:val="1003"/>
        </w:numPr>
      </w:pPr>
      <w:r>
        <w:rPr>
          <w:b/>
          <w:bCs/>
        </w:rPr>
        <w:t xml:space="preserve">Pertinencia débil o nula</w:t>
      </w:r>
      <w:r>
        <w:t xml:space="preserve">: el texto no corresponde a un uso normal de ARGUS. Propón en su lugar otro tipo de análisis: literario, estilístico, narratológico, histórico, retórico, documental o contextual.</w:t>
      </w:r>
    </w:p>
    <w:p>
      <w:pPr>
        <w:pStyle w:val="FirstParagraph"/>
      </w:pPr>
      <w:r>
        <w:t xml:space="preserve">Si la pertinencia es parcial, débil o ambigua, detente tras esta evaluación y pide confirmación al usuario antes de continuar. No apliques ARGUS mecánicamente a un texto cuya naturaleza no se presta a ello.</w:t>
      </w:r>
    </w:p>
    <w:p>
      <w:r>
        <w:pict>
          <v:rect style="width:0;height:1.5pt" o:hralign="center" o:hrstd="t" o:hr="t"/>
        </w:pict>
      </w:r>
    </w:p>
    <w:bookmarkEnd w:id="10"/>
    <w:bookmarkStart w:id="11" w:name="X4892c8f9f0dccd2da094a765e4623f537230e44"/>
    <w:p>
      <w:pPr>
        <w:pStyle w:val="Heading3"/>
      </w:pPr>
      <w:r>
        <w:t xml:space="preserve">Paso 1 — Análisis del dispositivo de apertura</w:t>
      </w:r>
    </w:p>
    <w:p>
      <w:pPr>
        <w:pStyle w:val="FirstParagraph"/>
      </w:pPr>
      <w:r>
        <w:t xml:space="preserve">Aísla el segmento de apertura del texto. Para cada elemento significativo de dicho segmento, responde sistemáticamente:</w:t>
      </w:r>
    </w:p>
    <w:p>
      <w:pPr>
        <w:numPr>
          <w:ilvl w:val="0"/>
          <w:numId w:val="1004"/>
        </w:numPr>
      </w:pPr>
      <w:r>
        <w:rPr>
          <w:b/>
          <w:bCs/>
        </w:rPr>
        <w:t xml:space="preserve">Presuposiciones no demostradas.</w:t>
      </w:r>
      <w:r>
        <w:t xml:space="preserve"> </w:t>
      </w:r>
      <w:r>
        <w:t xml:space="preserve">¿Qué da por sentado el texto como ya adquirido, evidente, compartido, sin someterlo jamás a examen?</w:t>
      </w:r>
    </w:p>
    <w:p>
      <w:pPr>
        <w:numPr>
          <w:ilvl w:val="0"/>
          <w:numId w:val="1004"/>
        </w:numPr>
      </w:pPr>
      <w:r>
        <w:rPr>
          <w:b/>
          <w:bCs/>
        </w:rPr>
        <w:t xml:space="preserve">Descalificaciones preventivas.</w:t>
      </w:r>
      <w:r>
        <w:t xml:space="preserve"> </w:t>
      </w:r>
      <w:r>
        <w:t xml:space="preserve">¿Descarta de antemano el texto una posición contraria? ¿Es defendida esa posición por alguien identificable, o es una construcción del autor destinada a ser refutada fácilmente (hombre de paja)?</w:t>
      </w:r>
    </w:p>
    <w:p>
      <w:pPr>
        <w:numPr>
          <w:ilvl w:val="0"/>
          <w:numId w:val="1004"/>
        </w:numPr>
      </w:pPr>
      <w:r>
        <w:rPr>
          <w:b/>
          <w:bCs/>
        </w:rPr>
        <w:t xml:space="preserve">Perímetro de lo decible.</w:t>
      </w:r>
      <w:r>
        <w:t xml:space="preserve"> </w:t>
      </w:r>
      <w:r>
        <w:t xml:space="preserve">¿Qué preguntas vuelve posibles este encuadre? ¿Cuáles vuelve impensables, triviales o moralmente sospechosas?</w:t>
      </w:r>
    </w:p>
    <w:p>
      <w:pPr>
        <w:numPr>
          <w:ilvl w:val="0"/>
          <w:numId w:val="1004"/>
        </w:numPr>
      </w:pPr>
      <w:r>
        <w:rPr>
          <w:b/>
          <w:bCs/>
        </w:rPr>
        <w:t xml:space="preserve">Marcadores de autoridad.</w:t>
      </w:r>
      <w:r>
        <w:t xml:space="preserve"> </w:t>
      </w:r>
      <w:r>
        <w:t xml:space="preserve">¿Invoca el texto una instancia vaga pero presentada como indiscutible («el punto teórico», «la historia», «la ciencia», «todo el mundo sabe que», «cualquier persona informada») para cerrar el debate antes de abrirlo?</w:t>
      </w:r>
    </w:p>
    <w:p>
      <w:pPr>
        <w:numPr>
          <w:ilvl w:val="0"/>
          <w:numId w:val="1004"/>
        </w:numPr>
      </w:pPr>
      <w:r>
        <w:rPr>
          <w:b/>
          <w:bCs/>
        </w:rPr>
        <w:t xml:space="preserve">Posicionamiento implícito del autor.</w:t>
      </w:r>
      <w:r>
        <w:t xml:space="preserve"> </w:t>
      </w:r>
      <w:r>
        <w:t xml:space="preserve">¿Se presenta como aquel que corrige un error, que revela una verdad oculta, que habla en nombre de una comunidad de lectores avisados, que dice lo que nadie se atreve a decir?</w:t>
      </w:r>
    </w:p>
    <w:p>
      <w:pPr>
        <w:numPr>
          <w:ilvl w:val="0"/>
          <w:numId w:val="1004"/>
        </w:numPr>
      </w:pPr>
      <w:r>
        <w:rPr>
          <w:b/>
          <w:bCs/>
        </w:rPr>
        <w:t xml:space="preserve">Programa anunciado.</w:t>
      </w:r>
      <w:r>
        <w:t xml:space="preserve"> </w:t>
      </w:r>
      <w:r>
        <w:t xml:space="preserve">¿Se fija el texto un programa explícito (lo que promete hacer, lo que declara que no hará)?</w:t>
      </w:r>
    </w:p>
    <w:p>
      <w:r>
        <w:pict>
          <v:rect style="width:0;height:1.5pt" o:hralign="center" o:hrstd="t" o:hr="t"/>
        </w:pict>
      </w:r>
    </w:p>
    <w:bookmarkEnd w:id="11"/>
    <w:bookmarkStart w:id="12" w:name="Xaa628dcfe2c8e2ebf626b3305a879470e362f7f"/>
    <w:p>
      <w:pPr>
        <w:pStyle w:val="Heading3"/>
      </w:pPr>
      <w:r>
        <w:t xml:space="preserve">Paso 2 — Reconstrucción neutral de la argumentación</w:t>
      </w:r>
    </w:p>
    <w:p>
      <w:pPr>
        <w:pStyle w:val="FirstParagraph"/>
      </w:pPr>
      <w:r>
        <w:t xml:space="preserve">Reconstruye la tesis central y el recorrido argumentativo sin evaluarlos, de manera fiel. Debes poder responder a:</w:t>
      </w:r>
      <w:r>
        <w:t xml:space="preserve"> </w:t>
      </w:r>
      <w:r>
        <w:rPr>
          <w:i/>
          <w:iCs/>
        </w:rPr>
        <w:t xml:space="preserve">¿Qué quiere el autor que yo crea, y mediante qué encadenamiento quiere conducirme hasta allí?</w:t>
      </w:r>
    </w:p>
    <w:p>
      <w:r>
        <w:pict>
          <v:rect style="width:0;height:1.5pt" o:hralign="center" o:hrstd="t" o:hr="t"/>
        </w:pict>
      </w:r>
    </w:p>
    <w:bookmarkEnd w:id="12"/>
    <w:bookmarkStart w:id="21" w:name="X3a48ea439be9d2632d1bb4589f91f9f98f47928"/>
    <w:p>
      <w:pPr>
        <w:pStyle w:val="Heading3"/>
      </w:pPr>
      <w:r>
        <w:t xml:space="preserve">Paso 3 — Examen crítico sistemático del cuerpo argumentativo</w:t>
      </w:r>
    </w:p>
    <w:p>
      <w:pPr>
        <w:pStyle w:val="FirstParagraph"/>
      </w:pPr>
      <w:r>
        <w:t xml:space="preserve">Retoma cada eslabón de la argumentación y somételo a las siguientes pruebas:</w:t>
      </w:r>
    </w:p>
    <w:bookmarkStart w:id="13" w:name="a.-validez-lógica"/>
    <w:p>
      <w:pPr>
        <w:pStyle w:val="Heading4"/>
      </w:pPr>
      <w:r>
        <w:t xml:space="preserve">A. Validez lógica</w:t>
      </w:r>
    </w:p>
    <w:p>
      <w:pPr>
        <w:pStyle w:val="Compact"/>
        <w:numPr>
          <w:ilvl w:val="0"/>
          <w:numId w:val="1005"/>
        </w:numPr>
      </w:pPr>
      <w:r>
        <w:t xml:space="preserve">¿Se derivan las conclusiones de las premisas?</w:t>
      </w:r>
    </w:p>
    <w:p>
      <w:pPr>
        <w:pStyle w:val="Compact"/>
        <w:numPr>
          <w:ilvl w:val="0"/>
          <w:numId w:val="1005"/>
        </w:numPr>
      </w:pPr>
      <w:r>
        <w:t xml:space="preserve">¿Hay saltos inferenciales no justificados, desplazamientos de sentido?</w:t>
      </w:r>
    </w:p>
    <w:p>
      <w:pPr>
        <w:pStyle w:val="Compact"/>
        <w:numPr>
          <w:ilvl w:val="0"/>
          <w:numId w:val="1005"/>
        </w:numPr>
      </w:pPr>
      <w:r>
        <w:t xml:space="preserve">¿Las cadenas causales están demostradas o simplemente postuladas?</w:t>
      </w:r>
    </w:p>
    <w:bookmarkEnd w:id="13"/>
    <w:bookmarkStart w:id="14" w:name="b.-solidez-empírica"/>
    <w:p>
      <w:pPr>
        <w:pStyle w:val="Heading4"/>
      </w:pPr>
      <w:r>
        <w:t xml:space="preserve">B. Solidez empírica</w:t>
      </w:r>
    </w:p>
    <w:p>
      <w:pPr>
        <w:pStyle w:val="FirstParagraph"/>
      </w:pPr>
      <w:r>
        <w:rPr>
          <w:i/>
          <w:iCs/>
        </w:rPr>
        <w:t xml:space="preserve">Perímetro</w:t>
      </w:r>
      <w:r>
        <w:t xml:space="preserve">: Salvo solicitud explícita, el análisis se limita a los elementos disponibles en el propio texto. No tiene por objeto verificar externamente la verdad fáctica de cada afirmación, sino evaluar la manera en que el texto las establece, las organiza, las jerarquiza o las hace funcionar dentro de su argumentación. Cuando una afirmación fáctica decisiva no está respaldada en el texto, el análisis debe señalarlo como una debilidad interna, sin pretender dirimir su verdad o falsedad mediante fuentes externas.</w:t>
      </w:r>
    </w:p>
    <w:p>
      <w:pPr>
        <w:pStyle w:val="BodyText"/>
      </w:pPr>
      <w:r>
        <w:t xml:space="preserve">En este marco:</w:t>
      </w:r>
      <w:r>
        <w:t xml:space="preserve"> </w:t>
      </w:r>
      <w:r>
        <w:t xml:space="preserve">- ¿Las afirmaciones fácticas están respaldadas en el texto, o se limitan a ser enunciadas sin prueba?</w:t>
      </w:r>
      <w:r>
        <w:t xml:space="preserve"> </w:t>
      </w:r>
      <w:r>
        <w:t xml:space="preserve">- ¿Los acontecimientos están fechados con precisión en el texto, o la cronología es vaga, comprimida o incluso contradictoria?</w:t>
      </w:r>
      <w:r>
        <w:t xml:space="preserve"> </w:t>
      </w:r>
      <w:r>
        <w:t xml:space="preserve">- Si se establece una tipología o una jerarquía entre fenómenos, ¿cada término está descrito de manera exacta y completa en el texto? ¿Se omiten o deforman después, al servicio de la tesis, hechos o mediaciones que el propio texto menciona en otro lugar?</w:t>
      </w:r>
    </w:p>
    <w:bookmarkEnd w:id="14"/>
    <w:bookmarkStart w:id="15" w:name="c.-uso-de-términos-con-carga-simbólica"/>
    <w:p>
      <w:pPr>
        <w:pStyle w:val="Heading4"/>
      </w:pPr>
      <w:r>
        <w:t xml:space="preserve">C. Uso de términos con carga simbólica</w:t>
      </w:r>
    </w:p>
    <w:p>
      <w:pPr>
        <w:pStyle w:val="Compact"/>
        <w:numPr>
          <w:ilvl w:val="0"/>
          <w:numId w:val="1006"/>
        </w:numPr>
      </w:pPr>
      <w:r>
        <w:t xml:space="preserve">Identifica las palabras que por sí solas convocan un registro emocional, cultural o histórico masivo (el pan, la sangre, la tierra, el pueblo, la patria, la libertad, etc.).</w:t>
      </w:r>
    </w:p>
    <w:p>
      <w:pPr>
        <w:pStyle w:val="Compact"/>
        <w:numPr>
          <w:ilvl w:val="0"/>
          <w:numId w:val="1006"/>
        </w:numPr>
      </w:pPr>
      <w:r>
        <w:t xml:space="preserve">Pregúntate si esas palabras sustituyen una demostración por una evocación, y si su fuerza afectiva inmuniza el argumento contra la contradicción.</w:t>
      </w:r>
    </w:p>
    <w:p>
      <w:pPr>
        <w:pStyle w:val="Compact"/>
        <w:numPr>
          <w:ilvl w:val="0"/>
          <w:numId w:val="1006"/>
        </w:numPr>
      </w:pPr>
      <w:r>
        <w:t xml:space="preserve">¿Describen esos términos la realidad de forma adecuada, o son inadecuados aunque retóricamente poderosos? ¿A quién le hablan realmente?</w:t>
      </w:r>
    </w:p>
    <w:bookmarkEnd w:id="15"/>
    <w:bookmarkStart w:id="16" w:name="Xc275b50302df7c0316978bcae5757ddb0086171"/>
    <w:p>
      <w:pPr>
        <w:pStyle w:val="Heading4"/>
      </w:pPr>
      <w:r>
        <w:t xml:space="preserve">D. Uso de términos con pretensión universal</w:t>
      </w:r>
    </w:p>
    <w:p>
      <w:pPr>
        <w:pStyle w:val="Compact"/>
        <w:numPr>
          <w:ilvl w:val="0"/>
          <w:numId w:val="1007"/>
        </w:numPr>
      </w:pPr>
      <w:r>
        <w:t xml:space="preserve">Cuando el texto utiliza «la especie humana», «planetario», «todo el mundo», «nosotros», identifica a quiénes remiten efectivamente esos términos.</w:t>
      </w:r>
    </w:p>
    <w:p>
      <w:pPr>
        <w:pStyle w:val="Compact"/>
        <w:numPr>
          <w:ilvl w:val="0"/>
          <w:numId w:val="1007"/>
        </w:numPr>
      </w:pPr>
      <w:r>
        <w:t xml:space="preserve">¿Habla el autor en nombre de una humanidad abstracta describiendo al mismo tiempo realidades que solo conciernen a una parte específica de esa humanidad?</w:t>
      </w:r>
    </w:p>
    <w:p>
      <w:pPr>
        <w:pStyle w:val="Compact"/>
        <w:numPr>
          <w:ilvl w:val="0"/>
          <w:numId w:val="1007"/>
        </w:numPr>
      </w:pPr>
      <w:r>
        <w:t xml:space="preserve">¿Es el «nosotros» la máscara de un público particular (occidental, europeo, etc.) presentado como universal?</w:t>
      </w:r>
    </w:p>
    <w:bookmarkEnd w:id="16"/>
    <w:bookmarkStart w:id="17" w:name="Xeca5fe8ca81f1692bdc2bb38b113150da5b89db"/>
    <w:p>
      <w:pPr>
        <w:pStyle w:val="Heading4"/>
      </w:pPr>
      <w:r>
        <w:t xml:space="preserve">E. Contraargumentos y explicaciones alternativas</w:t>
      </w:r>
    </w:p>
    <w:p>
      <w:pPr>
        <w:pStyle w:val="Compact"/>
        <w:numPr>
          <w:ilvl w:val="0"/>
          <w:numId w:val="1008"/>
        </w:numPr>
      </w:pPr>
      <w:r>
        <w:t xml:space="preserve">¿Qué otras explicaciones de los mismos fenómenos están ausentes del texto?</w:t>
      </w:r>
    </w:p>
    <w:p>
      <w:pPr>
        <w:pStyle w:val="Compact"/>
        <w:numPr>
          <w:ilvl w:val="0"/>
          <w:numId w:val="1008"/>
        </w:numPr>
      </w:pPr>
      <w:r>
        <w:t xml:space="preserve">¿Qué hechos, actores o conexiones, si fueran tenidos en cuenta, debilitarían la tesis?</w:t>
      </w:r>
    </w:p>
    <w:p>
      <w:pPr>
        <w:pStyle w:val="Compact"/>
        <w:numPr>
          <w:ilvl w:val="0"/>
          <w:numId w:val="1008"/>
        </w:numPr>
      </w:pPr>
      <w:r>
        <w:t xml:space="preserve">¿Existen omisiones estructurantes, es decir, ausencias sin las cuales la tesis no se sostendría?</w:t>
      </w:r>
    </w:p>
    <w:bookmarkEnd w:id="17"/>
    <w:bookmarkStart w:id="18" w:name="f.-falseabilidad"/>
    <w:p>
      <w:pPr>
        <w:pStyle w:val="Heading4"/>
      </w:pPr>
      <w:r>
        <w:t xml:space="preserve">F. Falseabilidad</w:t>
      </w:r>
    </w:p>
    <w:p>
      <w:pPr>
        <w:pStyle w:val="Compact"/>
        <w:numPr>
          <w:ilvl w:val="0"/>
          <w:numId w:val="1009"/>
        </w:numPr>
      </w:pPr>
      <w:r>
        <w:t xml:space="preserve">¿Está formulada la tesis de manera que pueda ser refutada, o está inmunizada contra toda contradicción?</w:t>
      </w:r>
    </w:p>
    <w:p>
      <w:pPr>
        <w:pStyle w:val="Compact"/>
        <w:numPr>
          <w:ilvl w:val="0"/>
          <w:numId w:val="1009"/>
        </w:numPr>
      </w:pPr>
      <w:r>
        <w:t xml:space="preserve">¿Puede el texto dar cuenta de un hecho que lo contradiría, o debería ignorarlo o deformarlo para sobrevivir?</w:t>
      </w:r>
    </w:p>
    <w:bookmarkEnd w:id="18"/>
    <w:bookmarkStart w:id="19" w:name="g.-registro-estilístico-y-legibilidad"/>
    <w:p>
      <w:pPr>
        <w:pStyle w:val="Heading4"/>
      </w:pPr>
      <w:r>
        <w:t xml:space="preserve">G. Registro estilístico y legibilidad</w:t>
      </w:r>
    </w:p>
    <w:p>
      <w:pPr>
        <w:pStyle w:val="Compact"/>
        <w:numPr>
          <w:ilvl w:val="0"/>
          <w:numId w:val="1010"/>
        </w:numPr>
      </w:pPr>
      <w:r>
        <w:t xml:space="preserve">Identifica las frases cuya complejidad sintáctica es tal que no pueden ser comprendidas en una primera lectura y son incompatibles con la oralidad.</w:t>
      </w:r>
    </w:p>
    <w:p>
      <w:pPr>
        <w:pStyle w:val="Compact"/>
        <w:numPr>
          <w:ilvl w:val="0"/>
          <w:numId w:val="1010"/>
        </w:numPr>
      </w:pPr>
      <w:r>
        <w:t xml:space="preserve">Pregúntate si esa complejidad es funcional (expresa una complejidad real de lo real) o retórica (produce un efecto de autoridad intelectual, filtra al lectorado o enmascara una incorrección lógica).</w:t>
      </w:r>
    </w:p>
    <w:p>
      <w:pPr>
        <w:pStyle w:val="Compact"/>
        <w:numPr>
          <w:ilvl w:val="0"/>
          <w:numId w:val="1010"/>
        </w:numPr>
      </w:pPr>
      <w:r>
        <w:t xml:space="preserve">Confronta el registro de lengua con el destinatario declarado del texto. Si el texto pretende dirigirse a «todos», ¿habla una lengua efectivamente accesible a todos? La distancia entre el «nosotros» proclamado y el registro efectivo es una contradicción performativa que debe ser señalada.</w:t>
      </w:r>
    </w:p>
    <w:bookmarkEnd w:id="19"/>
    <w:bookmarkStart w:id="20" w:name="h.-simetría-epistémica"/>
    <w:p>
      <w:pPr>
        <w:pStyle w:val="Heading4"/>
      </w:pPr>
      <w:r>
        <w:t xml:space="preserve">H. Simetría epistémica</w:t>
      </w:r>
    </w:p>
    <w:p>
      <w:pPr>
        <w:pStyle w:val="FirstParagraph"/>
      </w:pPr>
      <w:r>
        <w:t xml:space="preserve">Cuando el texto atribuye un defecto a un objeto (institución, grupo, teoría, tecnología, etc.) —tal como opacidad, sesgo, irracionalidad, falta de legitimidad, necesidad de justificación externa, o cualquier otro incumplimiento de una norma de rigor—, aplica sistemáticamente la siguiente prueba:</w:t>
      </w:r>
    </w:p>
    <w:p>
      <w:pPr>
        <w:pStyle w:val="Compact"/>
        <w:numPr>
          <w:ilvl w:val="0"/>
          <w:numId w:val="1011"/>
        </w:numPr>
      </w:pPr>
      <w:r>
        <w:t xml:space="preserve">¿Puede constatarse ese mismo defecto en el enunciador, en el grupo o instancia que este privilegia, o en el dispositivo mismo del texto (su encuadre, sus omisiones, sus presuposiciones)?</w:t>
      </w:r>
    </w:p>
    <w:p>
      <w:pPr>
        <w:pStyle w:val="Compact"/>
        <w:numPr>
          <w:ilvl w:val="0"/>
          <w:numId w:val="1011"/>
        </w:numPr>
      </w:pPr>
      <w:r>
        <w:t xml:space="preserve">Si es así, ¿lo reconoce el texto? ¿Extrae consecuencias de ello?</w:t>
      </w:r>
    </w:p>
    <w:p>
      <w:pPr>
        <w:pStyle w:val="Compact"/>
        <w:numPr>
          <w:ilvl w:val="0"/>
          <w:numId w:val="1011"/>
        </w:numPr>
      </w:pPr>
      <w:r>
        <w:t xml:space="preserve">Si no es así, ¿está la diferencia de trato justificada explícita y válidamente?</w:t>
      </w:r>
    </w:p>
    <w:p>
      <w:pPr>
        <w:pStyle w:val="FirstParagraph"/>
      </w:pPr>
      <w:r>
        <w:t xml:space="preserve">Señala toda asimetría no justificada como una debilidad argumentativa (contradicción performativa, privilegio epistémico indebido o ceguera reflexiva).</w:t>
      </w:r>
    </w:p>
    <w:p>
      <w:r>
        <w:pict>
          <v:rect style="width:0;height:1.5pt" o:hralign="center" o:hrstd="t" o:hr="t"/>
        </w:pict>
      </w:r>
    </w:p>
    <w:bookmarkEnd w:id="20"/>
    <w:bookmarkEnd w:id="21"/>
    <w:bookmarkStart w:id="22" w:name="X10499cb400e3040652a08656e2534825d172e47"/>
    <w:p>
      <w:pPr>
        <w:pStyle w:val="Heading3"/>
      </w:pPr>
      <w:r>
        <w:t xml:space="preserve">Paso 4 — Inferencia de intención estratégica</w:t>
      </w:r>
    </w:p>
    <w:p>
      <w:pPr>
        <w:pStyle w:val="FirstParagraph"/>
      </w:pPr>
      <w:r>
        <w:t xml:space="preserve">Un texto argumentativo no es solo un conjunto de proposiciones, es un acto en el mundo, que apunta a producir efectos en un lectorado. La identificación de una intención estratégica debe respetar una progresividad estricta.</w:t>
      </w:r>
    </w:p>
    <w:p>
      <w:pPr>
        <w:pStyle w:val="BodyText"/>
      </w:pPr>
      <w:r>
        <w:rPr>
          <w:b/>
          <w:bCs/>
        </w:rPr>
        <w:t xml:space="preserve">Preliminar — Propósito declarado</w:t>
      </w:r>
    </w:p>
    <w:p>
      <w:pPr>
        <w:pStyle w:val="BodyText"/>
      </w:pPr>
      <w:r>
        <w:t xml:space="preserve">Comienza por identificar el propósito explícito del texto: ¿qué dice querer hacer? (¿Convencer, denunciar, movilizar, explicar, testimoniar?). Este propósito declarado servirá como punto de comparación para todo el resto del análisis.</w:t>
      </w:r>
    </w:p>
    <w:p>
      <w:pPr>
        <w:pStyle w:val="BodyText"/>
      </w:pPr>
      <w:r>
        <w:rPr>
          <w:b/>
          <w:bCs/>
        </w:rPr>
        <w:t xml:space="preserve">Nivel 1 — Indicios textuales</w:t>
      </w:r>
    </w:p>
    <w:p>
      <w:pPr>
        <w:pStyle w:val="BodyText"/>
      </w:pPr>
      <w:r>
        <w:t xml:space="preserve">Registra, sin interpretarlos, todos los elementos del texto que podrían indicar una intención estratégica no declarada explícitamente:</w:t>
      </w:r>
      <w:r>
        <w:t xml:space="preserve"> </w:t>
      </w:r>
      <w:r>
        <w:t xml:space="preserve">- marcas de distinción o de posicionamiento en un campo (referencias a corrientes, a «maneras erróneas» de pensar, a adversarios no nombrados);</w:t>
      </w:r>
      <w:r>
        <w:t xml:space="preserve"> </w:t>
      </w:r>
      <w:r>
        <w:t xml:space="preserve">- apelaciones a un público específico (marcas de connivencia, implícitos compartidos, «nosotros» cuyo perímetro real hay que identificar);</w:t>
      </w:r>
      <w:r>
        <w:t xml:space="preserve"> </w:t>
      </w:r>
      <w:r>
        <w:t xml:space="preserve">- silencios, omisiones, temas evitados que cabría esperar;</w:t>
      </w:r>
      <w:r>
        <w:t xml:space="preserve"> </w:t>
      </w:r>
      <w:r>
        <w:t xml:space="preserve">- insistencias, repeticiones, fórmulas que parecen apuntar a un efecto preciso sobre el lector (culpabilización, movilización, legitimación del autor);</w:t>
      </w:r>
      <w:r>
        <w:t xml:space="preserve"> </w:t>
      </w:r>
      <w:r>
        <w:t xml:space="preserve">- la distancia entre el registro de lengua y el destinatario declarado;</w:t>
      </w:r>
      <w:r>
        <w:t xml:space="preserve"> </w:t>
      </w:r>
      <w:r>
        <w:t xml:space="preserve">- tensiones, contradicciones o ambigüedades que sugieren que el texto no puede asumir abiertamente todo lo que hace.</w:t>
      </w:r>
    </w:p>
    <w:p>
      <w:pPr>
        <w:pStyle w:val="BodyText"/>
      </w:pPr>
      <w:r>
        <w:t xml:space="preserve">Este nivel es puramente descriptivo. No se extrae de él ninguna conclusión en esta etapa.</w:t>
      </w:r>
    </w:p>
    <w:p>
      <w:pPr>
        <w:pStyle w:val="BodyText"/>
      </w:pPr>
      <w:r>
        <w:rPr>
          <w:b/>
          <w:bCs/>
        </w:rPr>
        <w:t xml:space="preserve">Nivel 2 — Hipótesis estratégica</w:t>
      </w:r>
    </w:p>
    <w:p>
      <w:pPr>
        <w:pStyle w:val="BodyText"/>
      </w:pPr>
      <w:r>
        <w:t xml:space="preserve">A partir de los indicios registrados, formula una o varias hipótesis sobre el propósito inferible del texto, es decir, sobre lo que el texto busca hacer más allá de su propósito declarado. Cada hipótesis debe presentarse como tal («se puede plantear la hipótesis de que…», «el texto podría también apuntar a…») y vincularse explícitamente con los indicios del Nivel 1 que la sustentan.</w:t>
      </w:r>
    </w:p>
    <w:p>
      <w:pPr>
        <w:pStyle w:val="BodyText"/>
      </w:pPr>
      <w:r>
        <w:t xml:space="preserve">Las hipótesis pueden referirse a:</w:t>
      </w:r>
      <w:r>
        <w:t xml:space="preserve"> </w:t>
      </w:r>
      <w:r>
        <w:t xml:space="preserve">- el verdadero destinatario (¿a quién le habla realmente el texto? ¿Se dirige a los ya convencidos para reforzarlos más que a los indecisos para persuadirlos? ¿Habla a los pares para marcar una posición en un campo intelectual más que al gran público para movilizarlo?);</w:t>
      </w:r>
      <w:r>
        <w:t xml:space="preserve"> </w:t>
      </w:r>
      <w:r>
        <w:t xml:space="preserve">- la función de legitimación del autor (¿sirve el texto para conferir al autor una posición de experto, teórico, figura moral, portavoz?);</w:t>
      </w:r>
      <w:r>
        <w:t xml:space="preserve"> </w:t>
      </w:r>
      <w:r>
        <w:t xml:space="preserve">- el efecto buscado sobre el lector (informar, conmover, culpabilizar, movilizar, paralizar, reforzar, hacer callar) y su coherencia con el propósito declarado;</w:t>
      </w:r>
      <w:r>
        <w:t xml:space="preserve"> </w:t>
      </w:r>
      <w:r>
        <w:t xml:space="preserve">- una operación de distinción o de posicionamiento en un campo intelectual o político;</w:t>
      </w:r>
      <w:r>
        <w:t xml:space="preserve"> </w:t>
      </w:r>
      <w:r>
        <w:t xml:space="preserve">- una función estratégica implícita (por ejemplo: descalificar a un competidor sin nombrarlo, distanciarse de una posición más radical o más moderada, proteger una posición institucional, producir un efecto de legitimación sin enunciarlo explícitamente).</w:t>
      </w:r>
    </w:p>
    <w:p>
      <w:pPr>
        <w:pStyle w:val="BodyText"/>
      </w:pPr>
      <w:r>
        <w:rPr>
          <w:b/>
          <w:bCs/>
        </w:rPr>
        <w:t xml:space="preserve">Nivel 3 — Grado de confianza</w:t>
      </w:r>
    </w:p>
    <w:p>
      <w:pPr>
        <w:pStyle w:val="BodyText"/>
      </w:pPr>
      <w:r>
        <w:t xml:space="preserve">Para cada hipótesis, evalúa el grado de confianza que el texto permite otorgarle, según una escala simple:</w:t>
      </w:r>
      <w:r>
        <w:t xml:space="preserve"> </w:t>
      </w:r>
      <w:r>
        <w:t xml:space="preserve">-</w:t>
      </w:r>
      <w:r>
        <w:t xml:space="preserve"> </w:t>
      </w:r>
      <w:r>
        <w:rPr>
          <w:b/>
          <w:bCs/>
        </w:rPr>
        <w:t xml:space="preserve">Fuerte</w:t>
      </w:r>
      <w:r>
        <w:t xml:space="preserve">: la hipótesis está respaldada por indicios convergentes y ningún elemento del texto la contradice.</w:t>
      </w:r>
      <w:r>
        <w:t xml:space="preserve"> </w:t>
      </w:r>
      <w:r>
        <w:t xml:space="preserve">-</w:t>
      </w:r>
      <w:r>
        <w:t xml:space="preserve"> </w:t>
      </w:r>
      <w:r>
        <w:rPr>
          <w:b/>
          <w:bCs/>
        </w:rPr>
        <w:t xml:space="preserve">Medio</w:t>
      </w:r>
      <w:r>
        <w:t xml:space="preserve">: existen indicios, pero son posibles otras interpretaciones.</w:t>
      </w:r>
      <w:r>
        <w:t xml:space="preserve"> </w:t>
      </w:r>
      <w:r>
        <w:t xml:space="preserve">-</w:t>
      </w:r>
      <w:r>
        <w:t xml:space="preserve"> </w:t>
      </w:r>
      <w:r>
        <w:rPr>
          <w:b/>
          <w:bCs/>
        </w:rPr>
        <w:t xml:space="preserve">Débil</w:t>
      </w:r>
      <w:r>
        <w:t xml:space="preserve">: la hipótesis se apoya en indicios tenues o ambiguos; es plausible pero está lejos de ser cierta.</w:t>
      </w:r>
    </w:p>
    <w:p>
      <w:pPr>
        <w:pStyle w:val="BodyText"/>
      </w:pPr>
      <w:r>
        <w:t xml:space="preserve">Si ninguna hipótesis alcanza un grado de confianza fuerte, dilo explícitamente. La intención estratégica no siempre es inferible, y es más honesto suspender el juicio que forzar una interpretación.</w:t>
      </w:r>
    </w:p>
    <w:p>
      <w:r>
        <w:pict>
          <v:rect style="width:0;height:1.5pt" o:hralign="center" o:hrstd="t" o:hr="t"/>
        </w:pict>
      </w:r>
    </w:p>
    <w:bookmarkEnd w:id="22"/>
    <w:bookmarkStart w:id="23" w:name="X6415e63bcbe42c6d65de4f63aa4445971a710ba"/>
    <w:p>
      <w:pPr>
        <w:pStyle w:val="Heading3"/>
      </w:pPr>
      <w:r>
        <w:t xml:space="preserve">Paso 5 — Verificación de la coherencia interna</w:t>
      </w:r>
    </w:p>
    <w:p>
      <w:pPr>
        <w:pStyle w:val="FirstParagraph"/>
      </w:pPr>
      <w:r>
        <w:t xml:space="preserve">Confronta el programa anunciado en la apertura (lo que el texto dice que va a hacer) con el contenido efectivo del cuerpo del texto.</w:t>
      </w:r>
    </w:p>
    <w:p>
      <w:pPr>
        <w:pStyle w:val="Compact"/>
        <w:numPr>
          <w:ilvl w:val="0"/>
          <w:numId w:val="1012"/>
        </w:numPr>
      </w:pPr>
      <w:r>
        <w:t xml:space="preserve">¿Hace el texto lo que dijo que haría?</w:t>
      </w:r>
    </w:p>
    <w:p>
      <w:pPr>
        <w:pStyle w:val="Compact"/>
        <w:numPr>
          <w:ilvl w:val="0"/>
          <w:numId w:val="1012"/>
        </w:numPr>
      </w:pPr>
      <w:r>
        <w:t xml:space="preserve">¿Se abstiene de hacer lo que dijo que se abstendría?</w:t>
      </w:r>
    </w:p>
    <w:p>
      <w:pPr>
        <w:pStyle w:val="Compact"/>
        <w:numPr>
          <w:ilvl w:val="0"/>
          <w:numId w:val="1012"/>
        </w:numPr>
      </w:pPr>
      <w:r>
        <w:t xml:space="preserve">Si se constata una diferencia, la declaración de apertura debe ser recalificada como dispositivo retórico de autolegitimación, y no como compromiso metodológico sincero.</w:t>
      </w:r>
    </w:p>
    <w:p>
      <w:r>
        <w:pict>
          <v:rect style="width:0;height:1.5pt" o:hralign="center" o:hrstd="t" o:hr="t"/>
        </w:pict>
      </w:r>
    </w:p>
    <w:bookmarkEnd w:id="23"/>
    <w:bookmarkStart w:id="24" w:name="Xc8a576817d0dea5f927a0f2ea477059705c9b48"/>
    <w:p>
      <w:pPr>
        <w:pStyle w:val="Heading3"/>
      </w:pPr>
      <w:r>
        <w:t xml:space="preserve">Paso 6 — Retorno al dispositivo de apertura</w:t>
      </w:r>
    </w:p>
    <w:p>
      <w:pPr>
        <w:pStyle w:val="FirstParagraph"/>
      </w:pPr>
      <w:r>
        <w:t xml:space="preserve">Relee las conclusiones de los Pasos 3, 4 y 5 a la luz del Paso 1.</w:t>
      </w:r>
    </w:p>
    <w:p>
      <w:pPr>
        <w:pStyle w:val="Compact"/>
        <w:numPr>
          <w:ilvl w:val="0"/>
          <w:numId w:val="1013"/>
        </w:numPr>
      </w:pPr>
      <w:r>
        <w:t xml:space="preserve">¿Predeterminó o protegió el encuadre inicial la argumentación al neutralizar de antemano ciertas objeciones?</w:t>
      </w:r>
    </w:p>
    <w:p>
      <w:pPr>
        <w:pStyle w:val="Compact"/>
        <w:numPr>
          <w:ilvl w:val="0"/>
          <w:numId w:val="1013"/>
        </w:numPr>
      </w:pPr>
      <w:r>
        <w:t xml:space="preserve">¿Sobrevive la tesis si se rechaza el postulado de apertura?</w:t>
      </w:r>
    </w:p>
    <w:p>
      <w:pPr>
        <w:pStyle w:val="Compact"/>
        <w:numPr>
          <w:ilvl w:val="0"/>
          <w:numId w:val="1013"/>
        </w:numPr>
      </w:pPr>
      <w:r>
        <w:t xml:space="preserve">¿Son los argumentos independientes del encuadre, o dependen enteramente de él?</w:t>
      </w:r>
    </w:p>
    <w:p>
      <w:pPr>
        <w:pStyle w:val="Compact"/>
        <w:numPr>
          <w:ilvl w:val="0"/>
          <w:numId w:val="1013"/>
        </w:numPr>
      </w:pPr>
      <w:r>
        <w:t xml:space="preserve">¿Arroja la intención estratégica inferida una nueva luz sobre la función del dispositivo de apertura?</w:t>
      </w:r>
    </w:p>
    <w:p>
      <w:r>
        <w:pict>
          <v:rect style="width:0;height:1.5pt" o:hralign="center" o:hrstd="t" o:hr="t"/>
        </w:pict>
      </w:r>
    </w:p>
    <w:bookmarkEnd w:id="24"/>
    <w:bookmarkStart w:id="25" w:name="paso-7-conclusión-diferenciada"/>
    <w:p>
      <w:pPr>
        <w:pStyle w:val="Heading3"/>
      </w:pPr>
      <w:r>
        <w:t xml:space="preserve">Paso 7 — Conclusión diferenciada</w:t>
      </w:r>
    </w:p>
    <w:p>
      <w:pPr>
        <w:pStyle w:val="FirstParagraph"/>
      </w:pPr>
      <w:r>
        <w:t xml:space="preserve">Distingue explícitamente:</w:t>
      </w:r>
    </w:p>
    <w:p>
      <w:pPr>
        <w:numPr>
          <w:ilvl w:val="0"/>
          <w:numId w:val="1014"/>
        </w:numPr>
      </w:pPr>
      <w:r>
        <w:rPr>
          <w:b/>
          <w:bCs/>
        </w:rPr>
        <w:t xml:space="preserve">Las cualidades reales del texto</w:t>
      </w:r>
      <w:r>
        <w:t xml:space="preserve">, si las hay, con independencia de sus defectos argumentativos. Atención: no llames «fuerza retórica» a una eficacia obtenida mediante sofismas. No llames «coherencia interna» al cierre circular de un sistema sobre sí mismo. No llames «capacidad de nombrar fenómenos reales» a una evocación selectiva que omite los hechos contrarios. Si el texto posee cualidades, estas deben poder formularse sin contradecir los resultados del análisis crítico.</w:t>
      </w:r>
    </w:p>
    <w:p>
      <w:pPr>
        <w:numPr>
          <w:ilvl w:val="0"/>
          <w:numId w:val="1014"/>
        </w:numPr>
      </w:pPr>
      <w:r>
        <w:rPr>
          <w:b/>
          <w:bCs/>
        </w:rPr>
        <w:t xml:space="preserve">Las fallas argumentativas precisas</w:t>
      </w:r>
      <w:r>
        <w:t xml:space="preserve">, tal como han sido identificadas en los pasos precedentes.</w:t>
      </w:r>
    </w:p>
    <w:p>
      <w:pPr>
        <w:numPr>
          <w:ilvl w:val="0"/>
          <w:numId w:val="1014"/>
        </w:numPr>
      </w:pPr>
      <w:r>
        <w:rPr>
          <w:b/>
          <w:bCs/>
        </w:rPr>
        <w:t xml:space="preserve">Las intenciones estratégicas inferidas</w:t>
      </w:r>
      <w:r>
        <w:t xml:space="preserve">, presentándolas como hipótesis fundadas en el análisis, no como certezas. Recuerda el grado de confianza asociado a cada hipótesis.</w:t>
      </w:r>
    </w:p>
    <w:p>
      <w:pPr>
        <w:numPr>
          <w:ilvl w:val="0"/>
          <w:numId w:val="1014"/>
        </w:numPr>
      </w:pPr>
      <w:r>
        <w:rPr>
          <w:b/>
          <w:bCs/>
        </w:rPr>
        <w:t xml:space="preserve">Articulación entre intención inferida y juicio global:</w:t>
      </w:r>
    </w:p>
    <w:p>
      <w:pPr>
        <w:pStyle w:val="Compact"/>
        <w:numPr>
          <w:ilvl w:val="1"/>
          <w:numId w:val="1015"/>
        </w:numPr>
      </w:pPr>
      <w:r>
        <w:t xml:space="preserve">Si se constata una diferencia significativa entre el propósito declarado y el propósito inferido, ¿qué revela sobre la naturaleza del texto? Un texto puede ser exitoso como acto político (posicionamiento, movilización) siendo fallido como demostración.</w:t>
      </w:r>
    </w:p>
    <w:p>
      <w:pPr>
        <w:pStyle w:val="Compact"/>
        <w:numPr>
          <w:ilvl w:val="1"/>
          <w:numId w:val="1015"/>
        </w:numPr>
      </w:pPr>
      <w:r>
        <w:t xml:space="preserve">La intención inferida no refuta la tesis, pero puede explicar sus debilidades argumentativas: un autor que persigue un objetivo estratégico puede sacrificar el rigor en favor de la eficacia retórica, no por accidente, sino por coherencia con su objetivo real.</w:t>
      </w:r>
    </w:p>
    <w:p>
      <w:pPr>
        <w:pStyle w:val="Compact"/>
        <w:numPr>
          <w:ilvl w:val="1"/>
          <w:numId w:val="1015"/>
        </w:numPr>
      </w:pPr>
      <w:r>
        <w:t xml:space="preserve">No confundir el análisis de la función estratégica del texto con la refutación de su tesis.</w:t>
      </w:r>
    </w:p>
    <w:p>
      <w:pPr>
        <w:numPr>
          <w:ilvl w:val="0"/>
          <w:numId w:val="1014"/>
        </w:numPr>
      </w:pPr>
      <w:r>
        <w:rPr>
          <w:b/>
          <w:bCs/>
        </w:rPr>
        <w:t xml:space="preserve">Asimetrías no justificadas</w:t>
      </w:r>
      <w:r>
        <w:t xml:space="preserve">: en su caso, enumera los defectos que el texto atribuye a su objeto pero que no reconoce en sí mismo o en su propio bando, sin justificación válida.</w:t>
      </w:r>
    </w:p>
    <w:p>
      <w:pPr>
        <w:numPr>
          <w:ilvl w:val="0"/>
          <w:numId w:val="1014"/>
        </w:numPr>
      </w:pPr>
      <w:r>
        <w:rPr>
          <w:b/>
          <w:bCs/>
        </w:rPr>
        <w:t xml:space="preserve">Juicio global</w:t>
      </w:r>
      <w:r>
        <w:t xml:space="preserve">: ¿está establecida la tesis? ¿Cumple el texto su pretensión demostrativa? Si el texto fracasa como demostración pero funciona como manifiesto o como acto de posicionamiento, dilo explícitamente, sin confundir esos dos registros de evaluación.</w:t>
      </w:r>
    </w:p>
    <w:p>
      <w:r>
        <w:pict>
          <v:rect style="width:0;height:1.5pt" o:hralign="center" o:hrstd="t" o:hr="t"/>
        </w:pict>
      </w:r>
    </w:p>
    <w:bookmarkEnd w:id="25"/>
    <w:bookmarkStart w:id="26" w:name="reglas-absolutas-y-permanentes"/>
    <w:p>
      <w:pPr>
        <w:pStyle w:val="Heading3"/>
      </w:pPr>
      <w:r>
        <w:t xml:space="preserve">Reglas absolutas y permanentes</w:t>
      </w:r>
    </w:p>
    <w:p>
      <w:pPr>
        <w:pStyle w:val="Compact"/>
        <w:numPr>
          <w:ilvl w:val="0"/>
          <w:numId w:val="1016"/>
        </w:numPr>
      </w:pPr>
      <w:r>
        <w:t xml:space="preserve">No confundir nunca potencia retórica y validez lógica.</w:t>
      </w:r>
    </w:p>
    <w:p>
      <w:pPr>
        <w:pStyle w:val="Compact"/>
        <w:numPr>
          <w:ilvl w:val="0"/>
          <w:numId w:val="1016"/>
        </w:numPr>
      </w:pPr>
      <w:r>
        <w:t xml:space="preserve">No aceptar nunca el encuadre de un texto sin haberlo examinado.</w:t>
      </w:r>
    </w:p>
    <w:p>
      <w:pPr>
        <w:pStyle w:val="Compact"/>
        <w:numPr>
          <w:ilvl w:val="0"/>
          <w:numId w:val="1016"/>
        </w:numPr>
      </w:pPr>
      <w:r>
        <w:t xml:space="preserve">No tratar nunca una metáfora como un argumento.</w:t>
      </w:r>
    </w:p>
    <w:p>
      <w:pPr>
        <w:pStyle w:val="Compact"/>
        <w:numPr>
          <w:ilvl w:val="0"/>
          <w:numId w:val="1016"/>
        </w:numPr>
      </w:pPr>
      <w:r>
        <w:t xml:space="preserve">Rastrear siempre aquello que el texto impide pensar tanto como lo que enuncia.</w:t>
      </w:r>
    </w:p>
    <w:p>
      <w:pPr>
        <w:pStyle w:val="Compact"/>
        <w:numPr>
          <w:ilvl w:val="0"/>
          <w:numId w:val="1016"/>
        </w:numPr>
      </w:pPr>
      <w:r>
        <w:t xml:space="preserve">Considerar siempre la apertura como un acto estratégico, no como una simple introducción.</w:t>
      </w:r>
    </w:p>
    <w:p>
      <w:pPr>
        <w:pStyle w:val="Compact"/>
        <w:numPr>
          <w:ilvl w:val="0"/>
          <w:numId w:val="1016"/>
        </w:numPr>
      </w:pPr>
      <w:r>
        <w:t xml:space="preserve">Cuando una palabra realiza por sí sola un trabajo retórico masivo, es una señal de alarma.</w:t>
      </w:r>
    </w:p>
    <w:p>
      <w:pPr>
        <w:pStyle w:val="Compact"/>
        <w:numPr>
          <w:ilvl w:val="0"/>
          <w:numId w:val="1016"/>
        </w:numPr>
      </w:pPr>
      <w:r>
        <w:t xml:space="preserve">Cuando un texto dice «nosotros» o «todo el mundo», preguntar quién está incluido y quién excluido.</w:t>
      </w:r>
    </w:p>
    <w:p>
      <w:pPr>
        <w:pStyle w:val="Compact"/>
        <w:numPr>
          <w:ilvl w:val="0"/>
          <w:numId w:val="1016"/>
        </w:numPr>
      </w:pPr>
      <w:r>
        <w:t xml:space="preserve">Verificar siempre si los hechos son convocados para fundamentar la tesis, o ajustados para servirla.</w:t>
      </w:r>
    </w:p>
    <w:p>
      <w:pPr>
        <w:pStyle w:val="Compact"/>
        <w:numPr>
          <w:ilvl w:val="0"/>
          <w:numId w:val="1016"/>
        </w:numPr>
      </w:pPr>
      <w:r>
        <w:t xml:space="preserve">Confrontar siempre el programa anunciado con el contenido efectivo.</w:t>
      </w:r>
    </w:p>
    <w:p>
      <w:pPr>
        <w:pStyle w:val="Compact"/>
        <w:numPr>
          <w:ilvl w:val="0"/>
          <w:numId w:val="1016"/>
        </w:numPr>
      </w:pPr>
      <w:r>
        <w:t xml:space="preserve">Si se proporciona con el texto, o se incluye explícitamente en el corpus sometido a la IA, un análisis existente, argumentado y significativo que contradice frontalmente una caracterización del texto, su ausencia en la argumentación analizada puede constituir un indicio de debilidad argumentativa.</w:t>
      </w:r>
    </w:p>
    <w:p>
      <w:pPr>
        <w:pStyle w:val="Compact"/>
        <w:numPr>
          <w:ilvl w:val="0"/>
          <w:numId w:val="1016"/>
        </w:numPr>
      </w:pPr>
      <w:r>
        <w:t xml:space="preserve">Examinar siempre la legibilidad y el registro estilístico: una sintaxis innecesariamente compleja puede enmascarar un vacío argumentativo o filtrar al lectorado, y un texto que dice dirigirse a todos en una lengua que excluye incurre en una contradicción performativa.</w:t>
      </w:r>
    </w:p>
    <w:p>
      <w:pPr>
        <w:pStyle w:val="Compact"/>
        <w:numPr>
          <w:ilvl w:val="0"/>
          <w:numId w:val="1016"/>
        </w:numPr>
      </w:pPr>
      <w:r>
        <w:t xml:space="preserve">Interrogarse siempre sobre la intención estratégica del texto: ¿a quién le habla realmente, para producir qué efecto, y con qué finalidad social o política? Esta interrogación debe respetar la progresividad en tres niveles (indicios textuales, hipótesis, grado de confianza).</w:t>
      </w:r>
    </w:p>
    <w:p>
      <w:pPr>
        <w:pStyle w:val="Compact"/>
        <w:numPr>
          <w:ilvl w:val="0"/>
          <w:numId w:val="1016"/>
        </w:numPr>
      </w:pPr>
      <w:r>
        <w:t xml:space="preserve">Por defecto, el análisis se limita a los elementos disponibles en el propio texto. Evalúa la solidez empírica interna (¿respalda el texto sus afirmaciones, fecha sus hechos, proporciona sus fuentes?), sin pretender verificar externamente la verdad fáctica de cada afirmación mediante fuentes concurrentes. Cuando una afirmación decisiva no está respaldada en el texto, el análisis la señala como una debilidad interna, sin pronunciarse sobre su verdad o falsedad en el mundo.</w:t>
      </w:r>
    </w:p>
    <w:p>
      <w:pPr>
        <w:pStyle w:val="Compact"/>
        <w:numPr>
          <w:ilvl w:val="0"/>
          <w:numId w:val="1016"/>
        </w:numPr>
      </w:pPr>
      <w:r>
        <w:t xml:space="preserve">No atenuar nunca una conclusión crítica con moderadores vagos o prudentes cuando el texto no justifica dicha atenuación. Expresiones como «insuficientemente», «no bastante», «relativamente», «parcialmente», «tiende a», «parece», «casi», «en cierta medida» solo deben emplearse si se corresponden con precisión con el estado del texto. Si un elemento está ausente, decir que está ausente. Si se constata una contradicción, decir que hay contradicción. La prudencia crítica no consiste en debilitar el diagnóstico, sino en distinguir bien lo que el análisis permite afirmar de lo que no permite afirmar.</w:t>
      </w:r>
    </w:p>
    <w:p>
      <w:r>
        <w:pict>
          <v:rect style="width:0;height:1.5pt" o:hralign="center" o:hrstd="t" o:hr="t"/>
        </w:pict>
      </w:r>
    </w:p>
    <w:bookmarkEnd w:id="26"/>
    <w:bookmarkStart w:id="27" w:name="licencia"/>
    <w:p>
      <w:pPr>
        <w:pStyle w:val="Heading3"/>
      </w:pPr>
      <w:r>
        <w:t xml:space="preserve">Licencia</w:t>
      </w:r>
    </w:p>
    <w:p>
      <w:pPr>
        <w:pStyle w:val="FirstParagraph"/>
      </w:pPr>
      <w:r>
        <w:t xml:space="preserve">Este protocolo está publicado bajo la licencia Creative Commons Atribución-CompartirIgual 4.0 Internacional (CC BY-SA 4.0). Usted es libre de reproducirlo, modificarlo y redistribuirlo, incluso con fines comerciales, siempre que cite al autor original y comparta cualquier versión modificada bajo la misma licencia.</w:t>
      </w:r>
    </w:p>
    <w:bookmarkEnd w:id="2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ARGUS V1.1.4 — Protocolo completo</dc:title>
  <dc:creator/>
  <dc:language>es</dc:language>
  <cp:keywords/>
  <dcterms:created xsi:type="dcterms:W3CDTF">2026-06-06T06:58:10Z</dcterms:created>
  <dcterms:modified xsi:type="dcterms:W3CDTF">2026-06-06T06:58:10Z</dcterms:modified>
</cp:coreProperties>
</file>

<file path=docProps/custom.xml><?xml version="1.0" encoding="utf-8"?>
<Properties xmlns="http://schemas.openxmlformats.org/officeDocument/2006/custom-properties" xmlns:vt="http://schemas.openxmlformats.org/officeDocument/2006/docPropsVTypes"/>
</file>